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760" w:right="920" w:hanging="2827"/>
        <w:spacing w:after="0" w:line="286" w:lineRule="auto"/>
        <w:tabs>
          <w:tab w:leader="none" w:pos="11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2022</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200" w:right="920" w:hanging="2274"/>
        <w:spacing w:after="0" w:line="286" w:lineRule="auto"/>
        <w:tabs>
          <w:tab w:leader="none" w:pos="11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transaction period from _____________ to _____________</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000-56194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Coeptis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84-3998117</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6220" w:type="dxa"/>
            <w:vAlign w:val="bottom"/>
            <w:gridSpan w:val="7"/>
          </w:tcPr>
          <w:p>
            <w:pPr>
              <w:jc w:val="center"/>
              <w:ind w:right="34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6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22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622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00" w:type="dxa"/>
            <w:vAlign w:val="bottom"/>
          </w:tcPr>
          <w:p>
            <w:pPr>
              <w:spacing w:after="0"/>
              <w:rPr>
                <w:sz w:val="17"/>
                <w:szCs w:val="17"/>
                <w:color w:val="auto"/>
              </w:rPr>
            </w:pPr>
          </w:p>
        </w:tc>
        <w:tc>
          <w:tcPr>
            <w:tcW w:w="5720" w:type="dxa"/>
            <w:vAlign w:val="bottom"/>
            <w:gridSpan w:val="6"/>
          </w:tcPr>
          <w:p>
            <w:pPr>
              <w:jc w:val="center"/>
              <w:ind w:right="3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22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15090</w:t>
            </w:r>
          </w:p>
        </w:tc>
        <w:tc>
          <w:tcPr>
            <w:tcW w:w="2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6220" w:type="dxa"/>
            <w:vAlign w:val="bottom"/>
            <w:gridSpan w:val="7"/>
          </w:tcPr>
          <w:p>
            <w:pPr>
              <w:jc w:val="center"/>
              <w:ind w:right="34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3640" w:type="dxa"/>
            <w:vAlign w:val="bottom"/>
            <w:gridSpan w:val="5"/>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(724) 934-6467</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1"/>
        </w:trPr>
        <w:tc>
          <w:tcPr>
            <w:tcW w:w="1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tcPr>
          <w:p>
            <w:pPr>
              <w:spacing w:after="0"/>
              <w:rPr>
                <w:sz w:val="24"/>
                <w:szCs w:val="24"/>
                <w:color w:val="auto"/>
              </w:rPr>
            </w:pPr>
          </w:p>
        </w:tc>
        <w:tc>
          <w:tcPr>
            <w:tcW w:w="338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7"/>
        </w:trPr>
        <w:tc>
          <w:tcPr>
            <w:tcW w:w="118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580" w:type="dxa"/>
            <w:vAlign w:val="bottom"/>
          </w:tcPr>
          <w:p>
            <w:pPr>
              <w:spacing w:after="0"/>
              <w:rPr>
                <w:sz w:val="20"/>
                <w:szCs w:val="20"/>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 </w:t>
      </w:r>
      <w:r>
        <w:rPr>
          <w:rFonts w:ascii="Times New Roman" w:cs="Times New Roman" w:eastAsia="Times New Roman" w:hAnsi="Times New Roman"/>
          <w:sz w:val="18"/>
          <w:szCs w:val="18"/>
          <w:u w:val="single" w:color="auto"/>
          <w:color w:val="auto"/>
        </w:rPr>
        <w:t>Common Stock, par value $0.0001 per share</w:t>
      </w:r>
    </w:p>
    <w:p>
      <w:pPr>
        <w:spacing w:after="0" w:line="2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$0.0001 per share, as of November 7, 2022, was 19,516,373.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980" w:type="dxa"/>
            <w:vAlign w:val="bottom"/>
          </w:tcPr>
          <w:p>
            <w:pPr>
              <w:spacing w:after="0"/>
              <w:rPr>
                <w:sz w:val="17"/>
                <w:szCs w:val="17"/>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1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Unaudited Financial Statements</w:t>
            </w:r>
          </w:p>
        </w:tc>
        <w:tc>
          <w:tcPr>
            <w:tcW w:w="410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7140" w:type="dxa"/>
            <w:vAlign w:val="bottom"/>
            <w:gridSpan w:val="1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2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Operations</w:t>
            </w:r>
          </w:p>
        </w:tc>
        <w:tc>
          <w:tcPr>
            <w:tcW w:w="6420" w:type="dxa"/>
            <w:vAlign w:val="bottom"/>
            <w:gridSpan w:val="11"/>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02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Stockholders' Equity (Deficit)</w:t>
            </w:r>
          </w:p>
        </w:tc>
        <w:tc>
          <w:tcPr>
            <w:tcW w:w="504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02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w:t>
            </w:r>
          </w:p>
        </w:tc>
        <w:tc>
          <w:tcPr>
            <w:tcW w:w="634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02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Financial Statements</w:t>
            </w:r>
          </w:p>
        </w:tc>
        <w:tc>
          <w:tcPr>
            <w:tcW w:w="608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0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8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2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2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636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900" w:type="dxa"/>
            <w:vAlign w:val="bottom"/>
            <w:gridSpan w:val="1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2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90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92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6480" w:type="dxa"/>
            <w:vAlign w:val="bottom"/>
            <w:gridSpan w:val="1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2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left="34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860" w:type="dxa"/>
            <w:vAlign w:val="bottom"/>
            <w:gridSpan w:val="2"/>
          </w:tcPr>
          <w:p>
            <w:pPr>
              <w:jc w:val="right"/>
              <w:ind w:right="1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4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EEEEEE"/>
            </w:tcBorders>
          </w:tcPr>
          <w:p>
            <w:pPr>
              <w:spacing w:after="0"/>
              <w:rPr>
                <w:sz w:val="20"/>
                <w:szCs w:val="20"/>
                <w:color w:val="auto"/>
              </w:rPr>
            </w:pPr>
          </w:p>
        </w:tc>
        <w:tc>
          <w:tcPr>
            <w:tcW w:w="370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7,370,909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c>
          <w:tcPr>
            <w:tcW w:w="0" w:type="dxa"/>
            <w:vAlign w:val="bottom"/>
          </w:tcPr>
          <w:p>
            <w:pPr>
              <w:spacing w:after="0"/>
              <w:rPr>
                <w:sz w:val="1"/>
                <w:szCs w:val="1"/>
                <w:color w:val="auto"/>
              </w:rPr>
            </w:pPr>
          </w:p>
        </w:tc>
      </w:tr>
      <w:tr>
        <w:trPr>
          <w:trHeight w:val="216"/>
        </w:trPr>
        <w:tc>
          <w:tcPr>
            <w:tcW w:w="3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8,075</w:t>
            </w: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37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7,378,984</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25,237</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c>
          <w:tcPr>
            <w:tcW w:w="0" w:type="dxa"/>
            <w:vAlign w:val="bottom"/>
          </w:tcPr>
          <w:p>
            <w:pPr>
              <w:spacing w:after="0"/>
              <w:rPr>
                <w:sz w:val="1"/>
                <w:szCs w:val="1"/>
                <w:color w:val="auto"/>
              </w:rPr>
            </w:pPr>
          </w:p>
        </w:tc>
      </w:tr>
      <w:tr>
        <w:trPr>
          <w:trHeight w:val="229"/>
        </w:trPr>
        <w:tc>
          <w:tcPr>
            <w:tcW w:w="3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12,349</w:t>
            </w: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370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3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839"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3,804,167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4,554,167</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68,541</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3,872,708</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4,572,092</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11,264,580</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684" w:right="339" w:bottom="839"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gridSpan w:val="3"/>
            <w:shd w:val="clear" w:color="auto" w:fill="EEEEEE"/>
          </w:tcPr>
          <w:p>
            <w:pPr>
              <w:ind w:left="3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327,873</w:t>
            </w:r>
          </w:p>
        </w:tc>
        <w:tc>
          <w:tcPr>
            <w:tcW w:w="400" w:type="dxa"/>
            <w:vAlign w:val="bottom"/>
            <w:shd w:val="clear" w:color="auto" w:fill="EEEEE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134,092</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360,176</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199,126</w:t>
            </w: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3,617,001</w:t>
            </w: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2,417,000</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9,834</w:t>
            </w: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14,724</w:t>
            </w:r>
          </w:p>
        </w:tc>
      </w:tr>
      <w:tr>
        <w:trPr>
          <w:trHeight w:val="210"/>
        </w:trPr>
        <w:tc>
          <w:tcPr>
            <w:tcW w:w="740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4,314,884</w:t>
            </w:r>
          </w:p>
        </w:tc>
        <w:tc>
          <w:tcPr>
            <w:tcW w:w="3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100" w:type="dxa"/>
            <w:vAlign w:val="bottom"/>
            <w:tcBorders>
              <w:bottom w:val="single" w:sz="8" w:color="EEEEEE"/>
            </w:tcBorders>
          </w:tcPr>
          <w:p>
            <w:pPr>
              <w:spacing w:after="0"/>
              <w:rPr>
                <w:sz w:val="18"/>
                <w:szCs w:val="18"/>
                <w:color w:val="auto"/>
              </w:rPr>
            </w:pPr>
          </w:p>
        </w:tc>
      </w:tr>
      <w:tr>
        <w:trPr>
          <w:trHeight w:val="210"/>
        </w:trPr>
        <w:tc>
          <w:tcPr>
            <w:tcW w:w="7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1,650,000</w:t>
            </w:r>
          </w:p>
        </w:tc>
      </w:tr>
      <w:tr>
        <w:trPr>
          <w:trHeight w:val="229"/>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56,341</w:t>
            </w: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6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206,341</w:t>
            </w:r>
          </w:p>
        </w:tc>
        <w:tc>
          <w:tcPr>
            <w:tcW w:w="3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63"/>
        </w:trPr>
        <w:tc>
          <w:tcPr>
            <w:tcW w:w="740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EEEEEE"/>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4,521,225</w:t>
            </w: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100" w:type="dxa"/>
            <w:vAlign w:val="bottom"/>
            <w:tcBorders>
              <w:bottom w:val="single" w:sz="8" w:color="EEEEEE"/>
            </w:tcBorders>
          </w:tcPr>
          <w:p>
            <w:pPr>
              <w:spacing w:after="0"/>
              <w:rPr>
                <w:sz w:val="22"/>
                <w:szCs w:val="22"/>
                <w:color w:val="auto"/>
              </w:rPr>
            </w:pPr>
          </w:p>
        </w:tc>
      </w:tr>
      <w:tr>
        <w:trPr>
          <w:trHeight w:val="197"/>
        </w:trPr>
        <w:tc>
          <w:tcPr>
            <w:tcW w:w="74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0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-0- shares</w:t>
            </w:r>
          </w:p>
        </w:tc>
        <w:tc>
          <w:tcPr>
            <w:tcW w:w="2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EEEEEE"/>
          </w:tcPr>
          <w:p>
            <w:pPr>
              <w:spacing w:after="0"/>
              <w:rPr>
                <w:sz w:val="17"/>
                <w:szCs w:val="17"/>
                <w:color w:val="auto"/>
              </w:rPr>
            </w:pPr>
          </w:p>
        </w:tc>
        <w:tc>
          <w:tcPr>
            <w:tcW w:w="1280" w:type="dxa"/>
            <w:vAlign w:val="bottom"/>
            <w:gridSpan w:val="2"/>
            <w:shd w:val="clear" w:color="auto" w:fill="EEEEEE"/>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w:t>
            </w:r>
          </w:p>
        </w:tc>
      </w:tr>
      <w:tr>
        <w:trPr>
          <w:trHeight w:val="234"/>
        </w:trPr>
        <w:tc>
          <w:tcPr>
            <w:tcW w:w="7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198"/>
        </w:trPr>
        <w:tc>
          <w:tcPr>
            <w:tcW w:w="7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43,207,163 shares issued and</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4,196</w:t>
            </w:r>
          </w:p>
        </w:tc>
        <w:tc>
          <w:tcPr>
            <w:tcW w:w="400" w:type="dxa"/>
            <w:vAlign w:val="bottom"/>
          </w:tcPr>
          <w:p>
            <w:pPr>
              <w:spacing w:after="0"/>
              <w:rPr>
                <w:sz w:val="17"/>
                <w:szCs w:val="17"/>
                <w:color w:val="auto"/>
              </w:rPr>
            </w:pPr>
          </w:p>
        </w:tc>
        <w:tc>
          <w:tcPr>
            <w:tcW w:w="12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3,550</w:t>
            </w: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September 30, 2022, and 37,082,864 shares issued and 36,754,064 shares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68,920,525</w:t>
            </w: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30,144,374</w:t>
            </w: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(247,165)</w:t>
            </w:r>
          </w:p>
        </w:tc>
      </w:tr>
      <w:tr>
        <w:trPr>
          <w:trHeight w:val="230"/>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(62,181,367)</w:t>
            </w: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(27,550,126)</w:t>
            </w:r>
          </w:p>
        </w:tc>
      </w:tr>
      <w:tr>
        <w:trPr>
          <w:trHeight w:val="209"/>
        </w:trPr>
        <w:tc>
          <w:tcPr>
            <w:tcW w:w="740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6,743,355</w:t>
            </w:r>
          </w:p>
        </w:tc>
        <w:tc>
          <w:tcPr>
            <w:tcW w:w="3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100" w:type="dxa"/>
            <w:vAlign w:val="bottom"/>
            <w:tcBorders>
              <w:bottom w:val="single" w:sz="8" w:color="EEEEEE"/>
            </w:tcBorders>
          </w:tcPr>
          <w:p>
            <w:pPr>
              <w:spacing w:after="0"/>
              <w:rPr>
                <w:sz w:val="18"/>
                <w:szCs w:val="18"/>
                <w:color w:val="auto"/>
              </w:rPr>
            </w:pPr>
          </w:p>
        </w:tc>
      </w:tr>
      <w:tr>
        <w:trPr>
          <w:trHeight w:val="223"/>
        </w:trPr>
        <w:tc>
          <w:tcPr>
            <w:tcW w:w="7400" w:type="dxa"/>
            <w:vAlign w:val="bottom"/>
            <w:tcBorders>
              <w:bottom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11,264,580</w:t>
            </w:r>
          </w:p>
        </w:tc>
        <w:tc>
          <w:tcPr>
            <w:tcW w:w="32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839" w:gutter="0" w:footer="0" w:header="0"/>
          <w:type w:val="continuous"/>
        </w:sectPr>
      </w:pPr>
    </w:p>
    <w:bookmarkStart w:id="3" w:name="page4"/>
    <w:bookmarkEnd w:id="3"/>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6"/>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100" w:type="dxa"/>
            <w:vAlign w:val="bottom"/>
          </w:tcPr>
          <w:p>
            <w:pPr>
              <w:spacing w:after="0"/>
              <w:rPr>
                <w:sz w:val="20"/>
                <w:szCs w:val="20"/>
                <w:color w:val="auto"/>
              </w:rPr>
            </w:pPr>
          </w:p>
        </w:tc>
        <w:tc>
          <w:tcPr>
            <w:tcW w:w="3000" w:type="dxa"/>
            <w:vAlign w:val="bottom"/>
            <w:gridSpan w:val="6"/>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9 Months Ended</w:t>
            </w:r>
          </w:p>
        </w:tc>
      </w:tr>
      <w:tr>
        <w:trPr>
          <w:trHeight w:val="187"/>
        </w:trPr>
        <w:tc>
          <w:tcPr>
            <w:tcW w:w="4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2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21"/>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74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3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20,887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20,887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5,488,540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6,759,339</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30,948,831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11,077,747</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2,859</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6,911</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2,918</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56,423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188,559</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176,068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266,382</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5,568,709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6,947,898</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31,152,697</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11,347,048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(5,568,709)</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(6,947,898)</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(31,152,697)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(11,272,048)</w:t>
            </w: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1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(413,124)</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Licensing income</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77,500</w:t>
            </w:r>
          </w:p>
        </w:tc>
      </w:tr>
      <w:tr>
        <w:trPr>
          <w:trHeight w:val="198"/>
        </w:trPr>
        <w:tc>
          <w:tcPr>
            <w:tcW w:w="474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Gain (Loss) *on extinguishment of debt and write</w:t>
            </w: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48"/>
        </w:trPr>
        <w:tc>
          <w:tcPr>
            <w:tcW w:w="47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down of assets</w:t>
            </w:r>
          </w:p>
        </w:tc>
        <w:tc>
          <w:tcPr>
            <w:tcW w:w="100" w:type="dxa"/>
            <w:vAlign w:val="bottom"/>
            <w:shd w:val="clear" w:color="auto" w:fill="EEEEEE"/>
          </w:tcPr>
          <w:p>
            <w:pPr>
              <w:spacing w:after="0"/>
              <w:rPr>
                <w:sz w:val="21"/>
                <w:szCs w:val="21"/>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(3,393,542)</w:t>
            </w:r>
          </w:p>
        </w:tc>
        <w:tc>
          <w:tcPr>
            <w:tcW w:w="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0"/>
        </w:trPr>
        <w:tc>
          <w:tcPr>
            <w:tcW w:w="47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1,001,543</w:t>
            </w:r>
          </w:p>
        </w:tc>
        <w:tc>
          <w:tcPr>
            <w:tcW w:w="3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(3,478,542</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662,376</w:t>
            </w:r>
          </w:p>
        </w:tc>
        <w:tc>
          <w:tcPr>
            <w:tcW w:w="100" w:type="dxa"/>
            <w:vAlign w:val="bottom"/>
            <w:tcBorders>
              <w:bottom w:val="single" w:sz="8" w:color="EEEEEE"/>
            </w:tcBorders>
          </w:tcPr>
          <w:p>
            <w:pPr>
              <w:spacing w:after="0"/>
              <w:rPr>
                <w:sz w:val="18"/>
                <w:szCs w:val="18"/>
                <w:color w:val="auto"/>
              </w:rPr>
            </w:pPr>
          </w:p>
        </w:tc>
      </w:tr>
      <w:tr>
        <w:trPr>
          <w:trHeight w:val="209"/>
        </w:trPr>
        <w:tc>
          <w:tcPr>
            <w:tcW w:w="4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(5,648,709)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(5,946,356)</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(34,631,239)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(10,609,672)</w:t>
            </w:r>
          </w:p>
        </w:tc>
      </w:tr>
      <w:tr>
        <w:trPr>
          <w:trHeight w:val="216"/>
        </w:trPr>
        <w:tc>
          <w:tcPr>
            <w:tcW w:w="4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10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EEEEEE"/>
              <w:bottom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(5,648,709</w:t>
            </w:r>
          </w:p>
        </w:tc>
        <w:tc>
          <w:tcPr>
            <w:tcW w:w="200" w:type="dxa"/>
            <w:vAlign w:val="bottom"/>
            <w:tcBorders>
              <w:top w:val="single" w:sz="8" w:color="EEEEEE"/>
              <w:bottom w:val="single" w:sz="8" w:color="EEEEEE"/>
            </w:tcBorders>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(5,946,356</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(34,631,239</w:t>
            </w:r>
          </w:p>
        </w:tc>
        <w:tc>
          <w:tcPr>
            <w:tcW w:w="180" w:type="dxa"/>
            <w:vAlign w:val="bottom"/>
            <w:tcBorders>
              <w:top w:val="single" w:sz="8" w:color="EEEEEE"/>
              <w:bottom w:val="single" w:sz="8" w:color="EEEEEE"/>
            </w:tcBorders>
            <w:shd w:val="clear" w:color="auto" w:fill="EEEEE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(10,609,672</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Loss per share, basic and fully diluted</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39,944,087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34,060,556</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38,678,939</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31,054,813</w:t>
            </w:r>
          </w:p>
        </w:tc>
      </w:tr>
      <w:tr>
        <w:trPr>
          <w:trHeight w:val="459"/>
        </w:trPr>
        <w:tc>
          <w:tcPr>
            <w:tcW w:w="9660" w:type="dxa"/>
            <w:vAlign w:val="bottom"/>
            <w:gridSpan w:val="11"/>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STOCKHOLDERS' EQUITY (DEFICIT)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76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17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22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SUBSCRIBED</w:t>
            </w:r>
          </w:p>
        </w:tc>
        <w:tc>
          <w:tcPr>
            <w:tcW w:w="860" w:type="dxa"/>
            <w:vAlign w:val="bottom"/>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DECEMBER</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EEEEEE"/>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25,178,840</w:t>
            </w:r>
          </w:p>
        </w:tc>
        <w:tc>
          <w:tcPr>
            <w:tcW w:w="8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2,519</w:t>
            </w:r>
          </w:p>
        </w:tc>
        <w:tc>
          <w:tcPr>
            <w:tcW w:w="240" w:type="dxa"/>
            <w:vAlign w:val="bottom"/>
            <w:gridSpan w:val="2"/>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8,954,985</w:t>
            </w:r>
          </w:p>
        </w:tc>
        <w:tc>
          <w:tcPr>
            <w:tcW w:w="200" w:type="dxa"/>
            <w:vAlign w:val="bottom"/>
            <w:gridSpan w:val="2"/>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EEEEEE"/>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(14,100,846)</w:t>
            </w:r>
          </w:p>
        </w:tc>
        <w:tc>
          <w:tcPr>
            <w:tcW w:w="900" w:type="dxa"/>
            <w:vAlign w:val="bottom"/>
            <w:gridSpan w:val="3"/>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(5,143,342)</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31, 2020</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24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20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vMerge w:val="continue"/>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1,589,400</w:t>
            </w:r>
          </w:p>
        </w:tc>
        <w:tc>
          <w:tcPr>
            <w:tcW w:w="80" w:type="dxa"/>
            <w:vAlign w:val="bottom"/>
            <w:shd w:val="clear" w:color="auto" w:fill="EEEEEE"/>
          </w:tcPr>
          <w:p>
            <w:pPr>
              <w:spacing w:after="0"/>
              <w:rPr>
                <w:sz w:val="12"/>
                <w:szCs w:val="12"/>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(298,062)</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(298,061)</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recapitalization</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2,436,500</w:t>
            </w:r>
          </w:p>
        </w:tc>
        <w:tc>
          <w:tcPr>
            <w:tcW w:w="8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2,436,256</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471,000</w:t>
            </w:r>
          </w:p>
        </w:tc>
        <w:tc>
          <w:tcPr>
            <w:tcW w:w="8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2,907,500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770,000</w:t>
            </w:r>
          </w:p>
        </w:tc>
        <w:tc>
          <w:tcPr>
            <w:tcW w:w="8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769,923</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770,000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6"/>
                <w:szCs w:val="16"/>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6"/>
                <w:szCs w:val="16"/>
                <w:color w:val="auto"/>
              </w:rPr>
            </w:pPr>
          </w:p>
        </w:tc>
        <w:tc>
          <w:tcPr>
            <w:tcW w:w="3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(1,950,081)</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(1,950,081)</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shd w:val="clear" w:color="auto" w:fill="EEEEEE"/>
          </w:tcPr>
          <w:p>
            <w:pPr>
              <w:spacing w:after="0"/>
              <w:rPr>
                <w:sz w:val="17"/>
                <w:szCs w:val="17"/>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29,974,740</w:t>
            </w:r>
          </w:p>
        </w:tc>
        <w:tc>
          <w:tcPr>
            <w:tcW w:w="8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2,839</w:t>
            </w: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11,863,102</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471,000</w:t>
            </w:r>
          </w:p>
        </w:tc>
        <w:tc>
          <w:tcPr>
            <w:tcW w:w="860" w:type="dxa"/>
            <w:vAlign w:val="bottom"/>
            <w:shd w:val="clear" w:color="auto" w:fill="EEEEEE"/>
          </w:tcPr>
          <w:p>
            <w:pPr>
              <w:spacing w:after="0"/>
              <w:rPr>
                <w:sz w:val="17"/>
                <w:szCs w:val="17"/>
                <w:color w:val="auto"/>
              </w:rPr>
            </w:pPr>
          </w:p>
        </w:tc>
        <w:tc>
          <w:tcPr>
            <w:tcW w:w="3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100"/>
              <w:spacing w:after="0" w:line="199" w:lineRule="exact"/>
              <w:rPr>
                <w:sz w:val="20"/>
                <w:szCs w:val="20"/>
                <w:color w:val="auto"/>
              </w:rPr>
            </w:pPr>
            <w:r>
              <w:rPr>
                <w:rFonts w:ascii="Times New Roman" w:cs="Times New Roman" w:eastAsia="Times New Roman" w:hAnsi="Times New Roman"/>
                <w:sz w:val="12"/>
                <w:szCs w:val="12"/>
                <w:color w:val="auto"/>
              </w:rPr>
              <w:t>(16,050,927</w:t>
            </w:r>
            <w:r>
              <w:rPr>
                <w:rFonts w:ascii="Times New Roman" w:cs="Times New Roman" w:eastAsia="Times New Roman" w:hAnsi="Times New Roman"/>
                <w:sz w:val="22"/>
                <w:szCs w:val="22"/>
                <w:color w:val="auto"/>
                <w:vertAlign w:val="superscript"/>
              </w:rPr>
              <w:t>)</w:t>
            </w:r>
          </w:p>
        </w:tc>
        <w:tc>
          <w:tcPr>
            <w:tcW w:w="900" w:type="dxa"/>
            <w:vAlign w:val="bottom"/>
            <w:gridSpan w:val="3"/>
            <w:shd w:val="clear" w:color="auto" w:fill="EEEEEE"/>
          </w:tcPr>
          <w:p>
            <w:pPr>
              <w:jc w:val="right"/>
              <w:spacing w:after="0" w:line="199" w:lineRule="exact"/>
              <w:rPr>
                <w:sz w:val="20"/>
                <w:szCs w:val="20"/>
                <w:color w:val="auto"/>
              </w:rPr>
            </w:pPr>
            <w:r>
              <w:rPr>
                <w:rFonts w:ascii="Times New Roman" w:cs="Times New Roman" w:eastAsia="Times New Roman" w:hAnsi="Times New Roman"/>
                <w:sz w:val="12"/>
                <w:szCs w:val="12"/>
                <w:color w:val="auto"/>
              </w:rPr>
              <w:t>(3,713,987</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0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1,281,664</w:t>
            </w:r>
          </w:p>
        </w:tc>
        <w:tc>
          <w:tcPr>
            <w:tcW w:w="8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1,922,368</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(388,500)</w:t>
            </w:r>
          </w:p>
        </w:tc>
        <w:tc>
          <w:tcPr>
            <w:tcW w:w="8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1,533,996</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690,000</w:t>
            </w:r>
          </w:p>
        </w:tc>
        <w:tc>
          <w:tcPr>
            <w:tcW w:w="8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1,034,931</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1,035,000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676,892</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676,892</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conversion of</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694,000</w:t>
            </w:r>
          </w:p>
        </w:tc>
        <w:tc>
          <w:tcPr>
            <w:tcW w:w="80" w:type="dxa"/>
            <w:vAlign w:val="bottom"/>
            <w:shd w:val="clear" w:color="auto" w:fill="EEEEEE"/>
          </w:tcPr>
          <w:p>
            <w:pPr>
              <w:spacing w:after="0"/>
              <w:rPr>
                <w:sz w:val="12"/>
                <w:szCs w:val="12"/>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1,040,931</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debt</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6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6"/>
                <w:szCs w:val="16"/>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EEEEEE"/>
          </w:tcPr>
          <w:p>
            <w:pPr>
              <w:spacing w:after="0"/>
              <w:rPr>
                <w:sz w:val="16"/>
                <w:szCs w:val="16"/>
                <w:color w:val="auto"/>
              </w:rPr>
            </w:pPr>
          </w:p>
        </w:tc>
        <w:tc>
          <w:tcPr>
            <w:tcW w:w="3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(2,713,235)</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(2,713,235)</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9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shd w:val="clear" w:color="auto" w:fill="EEEEEE"/>
          </w:tcPr>
          <w:p>
            <w:pPr>
              <w:spacing w:after="0"/>
              <w:rPr>
                <w:sz w:val="17"/>
                <w:szCs w:val="17"/>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32,640,404</w:t>
            </w:r>
          </w:p>
        </w:tc>
        <w:tc>
          <w:tcPr>
            <w:tcW w:w="80" w:type="dxa"/>
            <w:vAlign w:val="bottom"/>
            <w:shd w:val="clear" w:color="auto" w:fill="EEEEEE"/>
          </w:tcPr>
          <w:p>
            <w:pPr>
              <w:spacing w:after="0"/>
              <w:rPr>
                <w:sz w:val="17"/>
                <w:szCs w:val="17"/>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3,106</w:t>
            </w: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16,538,223</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82,500</w:t>
            </w:r>
          </w:p>
        </w:tc>
        <w:tc>
          <w:tcPr>
            <w:tcW w:w="860" w:type="dxa"/>
            <w:vAlign w:val="bottom"/>
            <w:shd w:val="clear" w:color="auto" w:fill="EEEEEE"/>
          </w:tcPr>
          <w:p>
            <w:pPr>
              <w:spacing w:after="0"/>
              <w:rPr>
                <w:sz w:val="17"/>
                <w:szCs w:val="17"/>
                <w:color w:val="auto"/>
              </w:rPr>
            </w:pPr>
          </w:p>
        </w:tc>
        <w:tc>
          <w:tcPr>
            <w:tcW w:w="3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100"/>
              <w:spacing w:after="0" w:line="199" w:lineRule="exact"/>
              <w:rPr>
                <w:sz w:val="20"/>
                <w:szCs w:val="20"/>
                <w:color w:val="auto"/>
              </w:rPr>
            </w:pPr>
            <w:r>
              <w:rPr>
                <w:rFonts w:ascii="Times New Roman" w:cs="Times New Roman" w:eastAsia="Times New Roman" w:hAnsi="Times New Roman"/>
                <w:sz w:val="12"/>
                <w:szCs w:val="12"/>
                <w:color w:val="auto"/>
              </w:rPr>
              <w:t>(18,764,162</w:t>
            </w:r>
            <w:r>
              <w:rPr>
                <w:rFonts w:ascii="Times New Roman" w:cs="Times New Roman" w:eastAsia="Times New Roman" w:hAnsi="Times New Roman"/>
                <w:sz w:val="22"/>
                <w:szCs w:val="22"/>
                <w:color w:val="auto"/>
                <w:vertAlign w:val="superscript"/>
              </w:rPr>
              <w:t>)</w:t>
            </w:r>
          </w:p>
        </w:tc>
        <w:tc>
          <w:tcPr>
            <w:tcW w:w="900" w:type="dxa"/>
            <w:vAlign w:val="bottom"/>
            <w:gridSpan w:val="3"/>
            <w:shd w:val="clear" w:color="auto" w:fill="EEEEEE"/>
          </w:tcPr>
          <w:p>
            <w:pPr>
              <w:jc w:val="right"/>
              <w:spacing w:after="0" w:line="199" w:lineRule="exact"/>
              <w:rPr>
                <w:sz w:val="20"/>
                <w:szCs w:val="20"/>
                <w:color w:val="auto"/>
              </w:rPr>
            </w:pPr>
            <w:r>
              <w:rPr>
                <w:rFonts w:ascii="Times New Roman" w:cs="Times New Roman" w:eastAsia="Times New Roman" w:hAnsi="Times New Roman"/>
                <w:sz w:val="12"/>
                <w:szCs w:val="12"/>
                <w:color w:val="auto"/>
              </w:rPr>
              <w:t>(2,140,333</w:t>
            </w:r>
            <w:r>
              <w:rPr>
                <w:rFonts w:ascii="Times New Roman" w:cs="Times New Roman" w:eastAsia="Times New Roman" w:hAnsi="Times New Roman"/>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0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(continued)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5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0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SUBSCRIBED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EEEEEE"/>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1,705,329</w:t>
            </w:r>
          </w:p>
        </w:tc>
        <w:tc>
          <w:tcPr>
            <w:tcW w:w="10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2,557,828</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1,294,500</w:t>
            </w:r>
          </w:p>
        </w:tc>
        <w:tc>
          <w:tcPr>
            <w:tcW w:w="180" w:type="dxa"/>
            <w:vAlign w:val="bottom"/>
            <w:gridSpan w:val="2"/>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3,852,499</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8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280" w:type="dxa"/>
            <w:vAlign w:val="bottom"/>
            <w:gridSpan w:val="2"/>
            <w:vMerge w:val="continue"/>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vMerge w:val="continue"/>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405,000</w:t>
            </w:r>
          </w:p>
        </w:tc>
        <w:tc>
          <w:tcPr>
            <w:tcW w:w="10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607,460</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607,501</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2,301,879</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2,301,879</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Stock based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1,897,585</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1,897,585</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6"/>
                <w:szCs w:val="16"/>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(5,946,356)</w:t>
            </w:r>
          </w:p>
        </w:tc>
        <w:tc>
          <w:tcPr>
            <w:tcW w:w="8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(5,946,356)</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30, 2021</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shd w:val="clear" w:color="auto" w:fill="EEEEEE"/>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34,750,733</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3,317</w:t>
            </w:r>
          </w:p>
        </w:tc>
        <w:tc>
          <w:tcPr>
            <w:tcW w:w="1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23,902,975</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1,377,000</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EEEEEE"/>
          </w:tcPr>
          <w:p>
            <w:pPr>
              <w:jc w:val="right"/>
              <w:ind w:right="220"/>
              <w:spacing w:after="0" w:line="199" w:lineRule="exact"/>
              <w:rPr>
                <w:sz w:val="20"/>
                <w:szCs w:val="20"/>
                <w:color w:val="auto"/>
              </w:rPr>
            </w:pPr>
            <w:r>
              <w:rPr>
                <w:rFonts w:ascii="Times New Roman" w:cs="Times New Roman" w:eastAsia="Times New Roman" w:hAnsi="Times New Roman"/>
                <w:sz w:val="12"/>
                <w:szCs w:val="12"/>
                <w:color w:val="auto"/>
              </w:rPr>
              <w:t>(24,710,518</w:t>
            </w:r>
            <w:r>
              <w:rPr>
                <w:rFonts w:ascii="Times New Roman" w:cs="Times New Roman" w:eastAsia="Times New Roman" w:hAnsi="Times New Roman"/>
                <w:sz w:val="22"/>
                <w:szCs w:val="22"/>
                <w:color w:val="auto"/>
                <w:vertAlign w:val="superscript"/>
              </w:rPr>
              <w:t>)</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572,774</w:t>
            </w:r>
          </w:p>
        </w:tc>
        <w:tc>
          <w:tcPr>
            <w:tcW w:w="0" w:type="dxa"/>
            <w:vAlign w:val="bottom"/>
          </w:tcPr>
          <w:p>
            <w:pPr>
              <w:spacing w:after="0"/>
              <w:rPr>
                <w:sz w:val="1"/>
                <w:szCs w:val="1"/>
                <w:color w:val="auto"/>
              </w:rPr>
            </w:pPr>
          </w:p>
        </w:tc>
      </w:tr>
      <w:tr>
        <w:trPr>
          <w:trHeight w:val="20"/>
        </w:trPr>
        <w:tc>
          <w:tcPr>
            <w:tcW w:w="10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DECEMBER</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vMerge w:val="restart"/>
            <w:shd w:val="clear" w:color="auto" w:fill="EEEEEE"/>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37,082,864</w:t>
            </w:r>
          </w:p>
        </w:tc>
        <w:tc>
          <w:tcPr>
            <w:tcW w:w="10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3,550</w:t>
            </w:r>
          </w:p>
        </w:tc>
        <w:tc>
          <w:tcPr>
            <w:tcW w:w="120" w:type="dxa"/>
            <w:vAlign w:val="bottom"/>
            <w:vMerge w:val="restart"/>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30,144,374</w:t>
            </w:r>
          </w:p>
        </w:tc>
        <w:tc>
          <w:tcPr>
            <w:tcW w:w="200" w:type="dxa"/>
            <w:vAlign w:val="bottom"/>
            <w:gridSpan w:val="2"/>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(247,165)</w:t>
            </w:r>
          </w:p>
        </w:tc>
        <w:tc>
          <w:tcPr>
            <w:tcW w:w="280" w:type="dxa"/>
            <w:vAlign w:val="bottom"/>
            <w:gridSpan w:val="2"/>
            <w:vMerge w:val="restart"/>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(27,550,126)</w:t>
            </w:r>
          </w:p>
        </w:tc>
        <w:tc>
          <w:tcPr>
            <w:tcW w:w="8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31, 2021</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vMerge w:val="continue"/>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200" w:type="dxa"/>
            <w:vAlign w:val="bottom"/>
            <w:gridSpan w:val="2"/>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8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280" w:type="dxa"/>
            <w:vAlign w:val="bottom"/>
            <w:gridSpan w:val="2"/>
            <w:vMerge w:val="continue"/>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vMerge w:val="continue"/>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421,999</w:t>
            </w:r>
          </w:p>
        </w:tc>
        <w:tc>
          <w:tcPr>
            <w:tcW w:w="10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1,265,958</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1,266,000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1,180,000</w:t>
            </w:r>
          </w:p>
        </w:tc>
        <w:tc>
          <w:tcPr>
            <w:tcW w:w="10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3,539,882</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3,540,000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Retirement of</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0"/>
                <w:szCs w:val="10"/>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(328,800)</w:t>
            </w:r>
          </w:p>
        </w:tc>
        <w:tc>
          <w:tcPr>
            <w:tcW w:w="10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(247,165)</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247,165</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shares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73,334</w:t>
            </w:r>
          </w:p>
        </w:tc>
        <w:tc>
          <w:tcPr>
            <w:tcW w:w="10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107,493</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shares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10,841,695</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10,841,695</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services</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extinguishment</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2"/>
                <w:szCs w:val="12"/>
                <w:color w:val="auto"/>
              </w:rPr>
            </w:pPr>
          </w:p>
        </w:tc>
        <w:tc>
          <w:tcPr>
            <w:tcW w:w="32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3,408,559</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2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78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3,408,559</w:t>
            </w:r>
          </w:p>
        </w:tc>
        <w:tc>
          <w:tcPr>
            <w:tcW w:w="0" w:type="dxa"/>
            <w:vAlign w:val="bottom"/>
          </w:tcPr>
          <w:p>
            <w:pPr>
              <w:spacing w:after="0"/>
              <w:rPr>
                <w:sz w:val="1"/>
                <w:szCs w:val="1"/>
                <w:color w:val="auto"/>
              </w:rPr>
            </w:pPr>
          </w:p>
        </w:tc>
      </w:tr>
      <w:tr>
        <w:trPr>
          <w:trHeight w:val="171"/>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of debt</w:t>
            </w:r>
          </w:p>
        </w:tc>
        <w:tc>
          <w:tcPr>
            <w:tcW w:w="1000" w:type="dxa"/>
            <w:vAlign w:val="bottom"/>
            <w:gridSpan w:val="2"/>
            <w:vMerge w:val="continue"/>
            <w:shd w:val="clear" w:color="auto" w:fill="EEEEEE"/>
          </w:tcPr>
          <w:p>
            <w:pPr>
              <w:spacing w:after="0"/>
              <w:rPr>
                <w:sz w:val="14"/>
                <w:szCs w:val="14"/>
                <w:color w:val="auto"/>
              </w:rPr>
            </w:pPr>
          </w:p>
        </w:tc>
        <w:tc>
          <w:tcPr>
            <w:tcW w:w="760" w:type="dxa"/>
            <w:vAlign w:val="bottom"/>
            <w:shd w:val="clear" w:color="auto" w:fill="EEEEEE"/>
          </w:tcPr>
          <w:p>
            <w:pPr>
              <w:spacing w:after="0"/>
              <w:rPr>
                <w:sz w:val="14"/>
                <w:szCs w:val="14"/>
                <w:color w:val="auto"/>
              </w:rPr>
            </w:pPr>
          </w:p>
        </w:tc>
        <w:tc>
          <w:tcPr>
            <w:tcW w:w="32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EEEEEE"/>
          </w:tcPr>
          <w:p>
            <w:pPr>
              <w:spacing w:after="0"/>
              <w:rPr>
                <w:sz w:val="16"/>
                <w:szCs w:val="16"/>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(19,179,693)</w:t>
            </w:r>
          </w:p>
        </w:tc>
        <w:tc>
          <w:tcPr>
            <w:tcW w:w="8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(19,179,693)</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8,000</w:t>
            </w:r>
          </w:p>
        </w:tc>
        <w:tc>
          <w:tcPr>
            <w:tcW w:w="760" w:type="dxa"/>
            <w:vAlign w:val="bottom"/>
            <w:shd w:val="clear" w:color="auto" w:fill="EEEEEE"/>
          </w:tcPr>
          <w:p>
            <w:pPr>
              <w:spacing w:after="0"/>
              <w:rPr>
                <w:sz w:val="17"/>
                <w:szCs w:val="17"/>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38,429,397</w:t>
            </w:r>
          </w:p>
        </w:tc>
        <w:tc>
          <w:tcPr>
            <w:tcW w:w="10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3,718</w:t>
            </w:r>
          </w:p>
        </w:tc>
        <w:tc>
          <w:tcPr>
            <w:tcW w:w="12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49,060,796</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220"/>
              <w:spacing w:after="0" w:line="199" w:lineRule="exact"/>
              <w:rPr>
                <w:sz w:val="20"/>
                <w:szCs w:val="20"/>
                <w:color w:val="auto"/>
              </w:rPr>
            </w:pPr>
            <w:r>
              <w:rPr>
                <w:rFonts w:ascii="Times New Roman" w:cs="Times New Roman" w:eastAsia="Times New Roman" w:hAnsi="Times New Roman"/>
                <w:sz w:val="12"/>
                <w:szCs w:val="12"/>
                <w:color w:val="auto"/>
              </w:rPr>
              <w:t>(46,729,821</w:t>
            </w:r>
            <w:r>
              <w:rPr>
                <w:rFonts w:ascii="Times New Roman" w:cs="Times New Roman" w:eastAsia="Times New Roman" w:hAnsi="Times New Roman"/>
                <w:sz w:val="22"/>
                <w:szCs w:val="22"/>
                <w:color w:val="auto"/>
                <w:vertAlign w:val="superscript"/>
              </w:rPr>
              <w:t>)</w:t>
            </w:r>
          </w:p>
        </w:tc>
        <w:tc>
          <w:tcPr>
            <w:tcW w:w="80" w:type="dxa"/>
            <w:vAlign w:val="bottom"/>
            <w:shd w:val="clear" w:color="auto" w:fill="EEEEEE"/>
          </w:tcPr>
          <w:p>
            <w:pPr>
              <w:spacing w:after="0"/>
              <w:rPr>
                <w:sz w:val="17"/>
                <w:szCs w:val="17"/>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2,337,195</w:t>
            </w:r>
          </w:p>
        </w:tc>
        <w:tc>
          <w:tcPr>
            <w:tcW w:w="0" w:type="dxa"/>
            <w:vAlign w:val="bottom"/>
          </w:tcPr>
          <w:p>
            <w:pPr>
              <w:spacing w:after="0"/>
              <w:rPr>
                <w:sz w:val="1"/>
                <w:szCs w:val="1"/>
                <w:color w:val="auto"/>
              </w:rPr>
            </w:pPr>
          </w:p>
        </w:tc>
      </w:tr>
      <w:tr>
        <w:trPr>
          <w:trHeight w:val="20"/>
        </w:trPr>
        <w:tc>
          <w:tcPr>
            <w:tcW w:w="10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consolidated financial statements.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80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180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vMerge w:val="continue"/>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0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320" w:type="dxa"/>
            <w:vAlign w:val="bottom"/>
            <w:gridSpan w:val="4"/>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SUBSCRIBED</w:t>
            </w:r>
          </w:p>
        </w:tc>
        <w:tc>
          <w:tcPr>
            <w:tcW w:w="11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1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228,500</w:t>
            </w:r>
          </w:p>
        </w:tc>
        <w:tc>
          <w:tcPr>
            <w:tcW w:w="100" w:type="dxa"/>
            <w:vAlign w:val="bottom"/>
            <w:shd w:val="clear" w:color="auto" w:fill="EEEEEE"/>
          </w:tcPr>
          <w:p>
            <w:pPr>
              <w:spacing w:after="0"/>
              <w:rPr>
                <w:sz w:val="10"/>
                <w:szCs w:val="10"/>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23</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685,462</w:t>
            </w:r>
          </w:p>
        </w:tc>
        <w:tc>
          <w:tcPr>
            <w:tcW w:w="100" w:type="dxa"/>
            <w:vAlign w:val="bottom"/>
            <w:shd w:val="clear" w:color="auto" w:fill="EEEEEE"/>
          </w:tcPr>
          <w:p>
            <w:pPr>
              <w:spacing w:after="0"/>
              <w:rPr>
                <w:sz w:val="10"/>
                <w:szCs w:val="10"/>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685,485</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shd w:val="clear" w:color="auto" w:fill="EEEEEE"/>
          </w:tcPr>
          <w:p>
            <w:pPr>
              <w:spacing w:after="0"/>
              <w:rPr>
                <w:sz w:val="10"/>
                <w:szCs w:val="10"/>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179,994</w:t>
            </w:r>
          </w:p>
        </w:tc>
        <w:tc>
          <w:tcPr>
            <w:tcW w:w="100" w:type="dxa"/>
            <w:vAlign w:val="bottom"/>
            <w:shd w:val="clear" w:color="auto" w:fill="EEEEEE"/>
          </w:tcPr>
          <w:p>
            <w:pPr>
              <w:spacing w:after="0"/>
              <w:rPr>
                <w:sz w:val="10"/>
                <w:szCs w:val="10"/>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295,000</w:t>
            </w:r>
          </w:p>
        </w:tc>
        <w:tc>
          <w:tcPr>
            <w:tcW w:w="100" w:type="dxa"/>
            <w:vAlign w:val="bottom"/>
            <w:shd w:val="clear" w:color="auto" w:fill="EEEEEE"/>
          </w:tcPr>
          <w:p>
            <w:pPr>
              <w:spacing w:after="0"/>
              <w:rPr>
                <w:sz w:val="12"/>
                <w:szCs w:val="12"/>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382,471</w:t>
            </w:r>
          </w:p>
        </w:tc>
        <w:tc>
          <w:tcPr>
            <w:tcW w:w="100" w:type="dxa"/>
            <w:vAlign w:val="bottom"/>
            <w:shd w:val="clear" w:color="auto" w:fill="EEEEEE"/>
          </w:tcPr>
          <w:p>
            <w:pPr>
              <w:spacing w:after="0"/>
              <w:rPr>
                <w:sz w:val="12"/>
                <w:szCs w:val="12"/>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382,500</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shares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8,278,691</w:t>
            </w:r>
          </w:p>
        </w:tc>
        <w:tc>
          <w:tcPr>
            <w:tcW w:w="100" w:type="dxa"/>
            <w:vAlign w:val="bottom"/>
            <w:shd w:val="clear" w:color="auto" w:fill="EEEEEE"/>
          </w:tcPr>
          <w:p>
            <w:pPr>
              <w:spacing w:after="0"/>
              <w:rPr>
                <w:sz w:val="12"/>
                <w:szCs w:val="12"/>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8,278,691</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6"/>
                <w:szCs w:val="16"/>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(9,802,837)</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(9,802,837)</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AT JUNE 30,</w:t>
            </w: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8,000</w:t>
            </w:r>
          </w:p>
        </w:tc>
        <w:tc>
          <w:tcPr>
            <w:tcW w:w="780" w:type="dxa"/>
            <w:vAlign w:val="bottom"/>
            <w:shd w:val="clear" w:color="auto" w:fill="EEEEEE"/>
          </w:tcPr>
          <w:p>
            <w:pPr>
              <w:spacing w:after="0"/>
              <w:rPr>
                <w:sz w:val="17"/>
                <w:szCs w:val="17"/>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39,012,897</w:t>
            </w:r>
          </w:p>
        </w:tc>
        <w:tc>
          <w:tcPr>
            <w:tcW w:w="10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3,776</w:t>
            </w:r>
          </w:p>
        </w:tc>
        <w:tc>
          <w:tcPr>
            <w:tcW w:w="12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58,587,414</w:t>
            </w:r>
          </w:p>
        </w:tc>
        <w:tc>
          <w:tcPr>
            <w:tcW w:w="10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100"/>
              <w:spacing w:after="0" w:line="199" w:lineRule="exact"/>
              <w:rPr>
                <w:sz w:val="20"/>
                <w:szCs w:val="20"/>
                <w:color w:val="auto"/>
              </w:rPr>
            </w:pPr>
            <w:r>
              <w:rPr>
                <w:rFonts w:ascii="Times New Roman" w:cs="Times New Roman" w:eastAsia="Times New Roman" w:hAnsi="Times New Roman"/>
                <w:sz w:val="12"/>
                <w:szCs w:val="12"/>
                <w:color w:val="auto"/>
              </w:rPr>
              <w:t>(56,532,658</w:t>
            </w:r>
            <w:r>
              <w:rPr>
                <w:rFonts w:ascii="Times New Roman" w:cs="Times New Roman" w:eastAsia="Times New Roman" w:hAnsi="Times New Roman"/>
                <w:sz w:val="22"/>
                <w:szCs w:val="22"/>
                <w:color w:val="auto"/>
                <w:vertAlign w:val="superscript"/>
              </w:rPr>
              <w:t>)</w:t>
            </w: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2,061,034</w:t>
            </w:r>
          </w:p>
        </w:tc>
        <w:tc>
          <w:tcPr>
            <w:tcW w:w="0" w:type="dxa"/>
            <w:vAlign w:val="bottom"/>
          </w:tcPr>
          <w:p>
            <w:pPr>
              <w:spacing w:after="0"/>
              <w:rPr>
                <w:sz w:val="1"/>
                <w:szCs w:val="1"/>
                <w:color w:val="auto"/>
              </w:rPr>
            </w:pPr>
          </w:p>
        </w:tc>
      </w:tr>
      <w:tr>
        <w:trPr>
          <w:trHeight w:val="20"/>
        </w:trPr>
        <w:tc>
          <w:tcPr>
            <w:tcW w:w="9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shd w:val="clear" w:color="auto" w:fill="EEEEEE"/>
          </w:tcPr>
          <w:p>
            <w:pPr>
              <w:spacing w:after="0"/>
              <w:rPr>
                <w:sz w:val="10"/>
                <w:szCs w:val="10"/>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55</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1,319,945</w:t>
            </w:r>
          </w:p>
        </w:tc>
        <w:tc>
          <w:tcPr>
            <w:tcW w:w="100" w:type="dxa"/>
            <w:vAlign w:val="bottom"/>
            <w:shd w:val="clear" w:color="auto" w:fill="EEEEEE"/>
          </w:tcPr>
          <w:p>
            <w:pPr>
              <w:spacing w:after="0"/>
              <w:rPr>
                <w:sz w:val="10"/>
                <w:szCs w:val="10"/>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1,320,000</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cash</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0"/>
                <w:szCs w:val="10"/>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EEEEEE"/>
          </w:tcPr>
          <w:p>
            <w:pPr>
              <w:spacing w:after="0"/>
              <w:rPr>
                <w:sz w:val="10"/>
                <w:szCs w:val="10"/>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899,970</w:t>
            </w:r>
          </w:p>
        </w:tc>
        <w:tc>
          <w:tcPr>
            <w:tcW w:w="100" w:type="dxa"/>
            <w:vAlign w:val="bottom"/>
            <w:shd w:val="clear" w:color="auto" w:fill="EEEEEE"/>
          </w:tcPr>
          <w:p>
            <w:pPr>
              <w:spacing w:after="0"/>
              <w:rPr>
                <w:sz w:val="10"/>
                <w:szCs w:val="10"/>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900,000</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3,344,266</w:t>
            </w:r>
          </w:p>
        </w:tc>
        <w:tc>
          <w:tcPr>
            <w:tcW w:w="100" w:type="dxa"/>
            <w:vAlign w:val="bottom"/>
            <w:shd w:val="clear" w:color="auto" w:fill="EEEEEE"/>
          </w:tcPr>
          <w:p>
            <w:pPr>
              <w:spacing w:after="0"/>
              <w:rPr>
                <w:sz w:val="12"/>
                <w:szCs w:val="12"/>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334</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4,757,990</w:t>
            </w:r>
          </w:p>
        </w:tc>
        <w:tc>
          <w:tcPr>
            <w:tcW w:w="100" w:type="dxa"/>
            <w:vAlign w:val="bottom"/>
            <w:shd w:val="clear" w:color="auto" w:fill="EEEEEE"/>
          </w:tcPr>
          <w:p>
            <w:pPr>
              <w:spacing w:after="0"/>
              <w:rPr>
                <w:sz w:val="12"/>
                <w:szCs w:val="12"/>
                <w:color w:val="auto"/>
              </w:rPr>
            </w:pPr>
          </w:p>
        </w:tc>
        <w:tc>
          <w:tcPr>
            <w:tcW w:w="114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4,755,824</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shares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4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10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2"/>
                <w:szCs w:val="12"/>
                <w:color w:val="auto"/>
              </w:rPr>
            </w:pPr>
          </w:p>
        </w:tc>
        <w:tc>
          <w:tcPr>
            <w:tcW w:w="340" w:type="dxa"/>
            <w:vAlign w:val="bottom"/>
            <w:gridSpan w:val="2"/>
            <w:vMerge w:val="restart"/>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3,355,206</w:t>
            </w:r>
          </w:p>
        </w:tc>
        <w:tc>
          <w:tcPr>
            <w:tcW w:w="100" w:type="dxa"/>
            <w:vAlign w:val="bottom"/>
            <w:shd w:val="clear" w:color="auto" w:fill="EEEEEE"/>
          </w:tcPr>
          <w:p>
            <w:pPr>
              <w:spacing w:after="0"/>
              <w:rPr>
                <w:sz w:val="12"/>
                <w:szCs w:val="12"/>
                <w:color w:val="auto"/>
              </w:rPr>
            </w:pPr>
          </w:p>
        </w:tc>
        <w:tc>
          <w:tcPr>
            <w:tcW w:w="1220" w:type="dxa"/>
            <w:vAlign w:val="bottom"/>
            <w:gridSpan w:val="3"/>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1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3,355,206</w:t>
            </w:r>
          </w:p>
        </w:tc>
        <w:tc>
          <w:tcPr>
            <w:tcW w:w="0" w:type="dxa"/>
            <w:vAlign w:val="bottom"/>
          </w:tcPr>
          <w:p>
            <w:pPr>
              <w:spacing w:after="0"/>
              <w:rPr>
                <w:sz w:val="1"/>
                <w:szCs w:val="1"/>
                <w:color w:val="auto"/>
              </w:rPr>
            </w:pPr>
          </w:p>
        </w:tc>
      </w:tr>
      <w:tr>
        <w:trPr>
          <w:trHeight w:val="171"/>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gridSpan w:val="2"/>
            <w:vMerge w:val="continue"/>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340" w:type="dxa"/>
            <w:vAlign w:val="bottom"/>
            <w:gridSpan w:val="2"/>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24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20" w:type="dxa"/>
            <w:vAlign w:val="bottom"/>
            <w:gridSpan w:val="3"/>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900" w:type="dxa"/>
            <w:vAlign w:val="bottom"/>
            <w:gridSpan w:val="3"/>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(loss)</w:t>
            </w: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EEEEE"/>
          </w:tcPr>
          <w:p>
            <w:pPr>
              <w:spacing w:after="0"/>
              <w:rPr>
                <w:sz w:val="16"/>
                <w:szCs w:val="16"/>
                <w:color w:val="auto"/>
              </w:rPr>
            </w:pP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(5,648,709)</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(5,648,709)</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8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w:t>
            </w:r>
          </w:p>
        </w:tc>
        <w:tc>
          <w:tcPr>
            <w:tcW w:w="7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AT</w:t>
            </w: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7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30, 2022</w:t>
            </w:r>
          </w:p>
        </w:tc>
        <w:tc>
          <w:tcPr>
            <w:tcW w:w="10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8,000</w:t>
            </w:r>
          </w:p>
        </w:tc>
        <w:tc>
          <w:tcPr>
            <w:tcW w:w="780" w:type="dxa"/>
            <w:vAlign w:val="bottom"/>
            <w:shd w:val="clear" w:color="auto" w:fill="EEEEEE"/>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43,207,163</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4,196</w:t>
            </w:r>
          </w:p>
        </w:tc>
        <w:tc>
          <w:tcPr>
            <w:tcW w:w="12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$68,920,525</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EEEEEE"/>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shd w:val="clear" w:color="auto" w:fill="EEEEEE"/>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100"/>
              <w:spacing w:after="0" w:line="199" w:lineRule="exact"/>
              <w:rPr>
                <w:sz w:val="20"/>
                <w:szCs w:val="20"/>
                <w:color w:val="auto"/>
              </w:rPr>
            </w:pPr>
            <w:r>
              <w:rPr>
                <w:rFonts w:ascii="Times New Roman" w:cs="Times New Roman" w:eastAsia="Times New Roman" w:hAnsi="Times New Roman"/>
                <w:sz w:val="12"/>
                <w:szCs w:val="12"/>
                <w:color w:val="auto"/>
              </w:rPr>
              <w:t>(62,181,367</w:t>
            </w:r>
            <w:r>
              <w:rPr>
                <w:rFonts w:ascii="Times New Roman" w:cs="Times New Roman" w:eastAsia="Times New Roman" w:hAnsi="Times New Roman"/>
                <w:sz w:val="22"/>
                <w:szCs w:val="22"/>
                <w:color w:val="auto"/>
                <w:vertAlign w:val="superscript"/>
              </w:rPr>
              <w:t>)</w:t>
            </w: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  6,743,355</w:t>
            </w:r>
          </w:p>
        </w:tc>
        <w:tc>
          <w:tcPr>
            <w:tcW w:w="0" w:type="dxa"/>
            <w:vAlign w:val="bottom"/>
          </w:tcPr>
          <w:p>
            <w:pPr>
              <w:spacing w:after="0"/>
              <w:rPr>
                <w:sz w:val="1"/>
                <w:szCs w:val="1"/>
                <w:color w:val="auto"/>
              </w:rPr>
            </w:pPr>
          </w:p>
        </w:tc>
      </w:tr>
      <w:tr>
        <w:trPr>
          <w:trHeight w:val="20"/>
        </w:trPr>
        <w:tc>
          <w:tcPr>
            <w:tcW w:w="9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 INC 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Months Ended</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Pr>
          <w:p>
            <w:pPr>
              <w:spacing w:after="0"/>
              <w:rPr>
                <w:sz w:val="19"/>
                <w:szCs w:val="19"/>
                <w:color w:val="auto"/>
              </w:rPr>
            </w:pPr>
          </w:p>
        </w:tc>
      </w:tr>
      <w:tr>
        <w:trPr>
          <w:trHeight w:val="210"/>
        </w:trPr>
        <w:tc>
          <w:tcPr>
            <w:tcW w:w="7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(34,631,239)</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(10,609,672)</w:t>
            </w:r>
          </w:p>
        </w:tc>
      </w:tr>
      <w:tr>
        <w:trPr>
          <w:trHeight w:val="216"/>
        </w:trPr>
        <w:tc>
          <w:tcPr>
            <w:tcW w:w="7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751,038</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72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Forgiveness of debt</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4,620,000</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2,412,500</w:t>
            </w:r>
          </w:p>
        </w:tc>
      </w:tr>
      <w:tr>
        <w:trPr>
          <w:trHeight w:val="216"/>
        </w:trPr>
        <w:tc>
          <w:tcPr>
            <w:tcW w:w="72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1,897,585</w:t>
            </w: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conversion of debt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1,041,000</w:t>
            </w:r>
          </w:p>
        </w:tc>
      </w:tr>
      <w:tr>
        <w:trPr>
          <w:trHeight w:val="216"/>
        </w:trPr>
        <w:tc>
          <w:tcPr>
            <w:tcW w:w="72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22,475,592</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2,978,771</w:t>
            </w: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 issued for extinguishment of debt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3,408,559</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(8,075)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16"/>
        </w:trPr>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836</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16"/>
        </w:trPr>
        <w:tc>
          <w:tcPr>
            <w:tcW w:w="72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193,780</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(340,621)</w:t>
            </w:r>
          </w:p>
        </w:tc>
      </w:tr>
      <w:tr>
        <w:trPr>
          <w:trHeight w:val="216"/>
        </w:trPr>
        <w:tc>
          <w:tcPr>
            <w:tcW w:w="72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161,050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(578,335)</w:t>
            </w:r>
          </w:p>
        </w:tc>
      </w:tr>
      <w:tr>
        <w:trPr>
          <w:trHeight w:val="229"/>
        </w:trPr>
        <w:tc>
          <w:tcPr>
            <w:tcW w:w="7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0"/>
        </w:trPr>
        <w:tc>
          <w:tcPr>
            <w:tcW w:w="7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(3,028,459</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(4,280,561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(4,804,167)</w:t>
            </w:r>
          </w:p>
        </w:tc>
      </w:tr>
      <w:tr>
        <w:trPr>
          <w:trHeight w:val="210"/>
        </w:trPr>
        <w:tc>
          <w:tcPr>
            <w:tcW w:w="7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(4,804,167</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4,827,595</w:t>
            </w:r>
          </w:p>
        </w:tc>
      </w:tr>
      <w:tr>
        <w:trPr>
          <w:trHeight w:val="216"/>
        </w:trPr>
        <w:tc>
          <w:tcPr>
            <w:tcW w:w="7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(300,000)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(527,905)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(604,000)</w:t>
            </w:r>
          </w:p>
        </w:tc>
      </w:tr>
      <w:tr>
        <w:trPr>
          <w:trHeight w:val="216"/>
        </w:trPr>
        <w:tc>
          <w:tcPr>
            <w:tcW w:w="7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merger/recapitalization</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(298,061)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3,271,485</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6,916,994</w:t>
            </w:r>
          </w:p>
        </w:tc>
      </w:tr>
      <w:tr>
        <w:trPr>
          <w:trHeight w:val="216"/>
        </w:trPr>
        <w:tc>
          <w:tcPr>
            <w:tcW w:w="7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issued for cash for the conversion warrants</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5,248,324</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1,377,000</w:t>
            </w:r>
          </w:p>
        </w:tc>
      </w:tr>
      <w:tr>
        <w:trPr>
          <w:trHeight w:val="209"/>
        </w:trPr>
        <w:tc>
          <w:tcPr>
            <w:tcW w:w="7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8,219,809</w:t>
            </w:r>
          </w:p>
        </w:tc>
        <w:tc>
          <w:tcPr>
            <w:tcW w:w="3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11,691,623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5,191,351</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2,606,897</w:t>
            </w:r>
          </w:p>
        </w:tc>
        <w:tc>
          <w:tcPr>
            <w:tcW w:w="100" w:type="dxa"/>
            <w:vAlign w:val="bottom"/>
          </w:tcPr>
          <w:p>
            <w:pPr>
              <w:spacing w:after="0"/>
              <w:rPr>
                <w:sz w:val="18"/>
                <w:szCs w:val="18"/>
                <w:color w:val="auto"/>
              </w:rPr>
            </w:pPr>
          </w:p>
        </w:tc>
      </w:tr>
      <w:tr>
        <w:trPr>
          <w:trHeight w:val="230"/>
        </w:trPr>
        <w:tc>
          <w:tcPr>
            <w:tcW w:w="7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2,179,558</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202,965</w:t>
            </w:r>
          </w:p>
        </w:tc>
      </w:tr>
      <w:tr>
        <w:trPr>
          <w:trHeight w:val="263"/>
        </w:trPr>
        <w:tc>
          <w:tcPr>
            <w:tcW w:w="72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7,370,909</w:t>
            </w:r>
          </w:p>
        </w:tc>
        <w:tc>
          <w:tcPr>
            <w:tcW w:w="320" w:type="dxa"/>
            <w:vAlign w:val="bottom"/>
            <w:tcBorders>
              <w:bottom w:val="single" w:sz="8" w:color="EEEEEE"/>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2,809,861</w:t>
            </w:r>
          </w:p>
        </w:tc>
        <w:tc>
          <w:tcPr>
            <w:tcW w:w="100" w:type="dxa"/>
            <w:vAlign w:val="bottom"/>
            <w:tcBorders>
              <w:bottom w:val="single" w:sz="8" w:color="EEEEEE"/>
            </w:tcBorders>
          </w:tcPr>
          <w:p>
            <w:pPr>
              <w:spacing w:after="0"/>
              <w:rPr>
                <w:sz w:val="22"/>
                <w:szCs w:val="22"/>
                <w:color w:val="auto"/>
              </w:rPr>
            </w:pPr>
          </w:p>
        </w:tc>
      </w:tr>
      <w:tr>
        <w:trPr>
          <w:trHeight w:val="197"/>
        </w:trPr>
        <w:tc>
          <w:tcPr>
            <w:tcW w:w="7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780" w:type="dxa"/>
            <w:vAlign w:val="bottom"/>
            <w:gridSpan w:val="2"/>
            <w:shd w:val="clear" w:color="auto" w:fill="EEEEEE"/>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LLC became a disregarded single-member limited liability company which is wholly owned by the newly formed corporation.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2021, Vinings Holdings, Inc., a Delaware corporation (“Vinings”), merged (the “Merger”) with and into Coeptis Pharmaceuticals, Inc.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2021, the company has legally changed its name from Vinings Holdings, Inc. to Coeptis Therapeutics, Inc. Coeptis was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that Merger. As a result of the Merger, Vinings acquired the business of Coeptis and will continue the existing business operations of Coeptis as a wholly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The Merger was treated as a recapitalization of the Company for financial accounting purposes. The historical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Vinings before the Merger were replaced with the historical financial statements of Coeptis before the Merger in all future filings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w:t>
      </w:r>
      <w:r>
        <w:rPr>
          <w:rFonts w:ascii="Times New Roman" w:cs="Times New Roman" w:eastAsia="Times New Roman" w:hAnsi="Times New Roman"/>
          <w:sz w:val="18"/>
          <w:szCs w:val="18"/>
          <w:color w:val="auto"/>
        </w:rPr>
        <w:t>- On April 18, 2022, the Company entered into an Agreement and Plan of Merger (the “Merger Agreement”) with BH Merger Sub, Inc.,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 a Delaware corporation and wholly-owned subsidiary of Bull Horn Holdings Corp., a company incorporated in the British Virgin Islands (together with its successors, including after giving effect to the Domestication as described below, “Bull Horn” or the “Purchaser”).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“Domestication”), and (ii) upon the consummation of the transactions contemplated by the Merger Agreement (the “Closing”), Merger Sub will merge with and into Coeptis (the “Merger” and, together with the Domestication and the other transactions contemplated by the Merger Agreement, the “Transactions”), with Coeptis continuing as the surviving corporation in the Merger and a wholly-owned subsidiary of Bull Horn (after the Domestication).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Bull Horn and converted into a warrant for shares of Bull Horn common stock with its price and number of shares equitably adjusted based on the conversion of the shares of Coeptis common stock into the Merger Consideration (each, an “Assumed Warrant”),</w:t>
      </w:r>
    </w:p>
    <w:p>
      <w:pPr>
        <w:spacing w:after="0" w:line="3" w:lineRule="exact"/>
        <w:rPr>
          <w:sz w:val="20"/>
          <w:szCs w:val="20"/>
          <w:color w:val="auto"/>
        </w:rPr>
      </w:pPr>
    </w:p>
    <w:p>
      <w:pPr>
        <w:jc w:val="both"/>
        <w:ind w:firstLine="8"/>
        <w:spacing w:after="0" w:line="255"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“Coeptis Convertible Debt”) will be assumed by Bull Horn and be convertible into common stock of Bull Horn (the “Assumed Convertible Debt”) and (iv) any other outstanding securities with the right to convert into or acquire equity securities of Coeptis or its subsidiaries will be terminated. At the Closing, Bull Horn will change its name to “Coeptis Therapeutics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Bull Horn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“Redemption Price”)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“Closing Redemption”),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(“GAAP”) for interim financial information and with the instructions to Form 10-Q and Rule 8-03 of Regulation S-X. Accordingly, they do not include all of the information and notes required by generally accepted accounting principles in the United States of America for complete financial statements. In the opinion of the Company’s management, any adjustments contained in the accompanying unaudited consolidated financial statements are of a normal recurring nature, and are necessary to fairly present the financial position of the Company as of September 30, 2022, along with its results of operations for the three and nine-month periods ended September 30, 2022 and 2021 and cash flows for the nine-month periods ended September 30, 2022 and 2021. Interim financial statements are prepared on a basis consistent with the Company’s annual financial statements and should be read in conjunction with our Annual Report on Form 10-K for the fiscal year ended December 31, 2021. Results of operations for the nine-month period ended September 30, 2022, are not necessarily indicative of the operating results that may be expected for the full year ending December 31, 2022.  </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unaudited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in the Company’s Annual Report on Form 10-K filed with the U.S. Securities and Exchange Commission (“SEC”) on March 11, 2022. There have been no material changes to the significant accounting policies during the nine-month period ended September 30, 2022, except for items mentioned below.</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The Company believes that the estimates, judgments and assumptions upon which it relies are reasonable based upon information available at the time that these estimates, judgments and assumptions are made. Actual results could differ from those estimates. The Company’s accounting estimates include the useful lives of long-lived assets and recoverability of those assets, and valuation allowance of deferred tax assets.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The Company has implemented all new applicable accounting pronouncements that are in effect.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pronouncements did not have any material impact on the financial statements unless otherwise disclosed, and management does not believe that there are any other new accounting pronouncements that have been issued that might have a material impact on its financial position or results of operations.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quarter ended September 30, 2022, the Company had accumulated deficit of $62,181,367. These conditions raise substantial doubt about the Company’s ability to continue as a going concern. Management’s plans with respect to operations include raising additional capital through sales of equity or debt securities as may be necessary to pursue its business plans and sustain operations until such time as the Company can achieve profitability. Management believes that additional financing as necessary will result in improved operations and cash flow. However, there can be no assurance that management will be successful in obtaining additional funding or in attaining profitable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met and paid as of September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 issuance of $1,500,000 of convertible debt due in 2023 to satisfy amounts owed for the license, (ii) the issue of warrants (See NOTE 5) and (iii)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under the direction of a joint steering committee, in the development and commercialization of the CD38 Assets and a 50/50 profit share, with the profit share subject to contingent automatic downward adjustment up to 25% upon an event of default in connection with the promissory notes. The Company capitalized $5,000,000 to be amortized over a five-year period in which the CD38 Assets are expected to contribute to future cash flows. In March of 2022, a $250,000 payment was made toward the promissory notes. As of September 30, 2022, the balance due under the two promissory notes totaled $1,500,000, with a maturity date of November 15, 2022. The Company is in compliance with the option agreement as of September 30, 2022.</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made certain judgements as the basis in determining the accounting treatment of these options. The CD38 Assets represent a platform technology and a diagnostic tool which have multiple applications and uses. Both projects are intended to be used in more than one therapy or diagnostic option. For example, GEAR-NK is a technology which allows for the gene editing of human natural killer cells, so that these cells can no longer bind and be destroyed by targeted monoclonal antibody treatments. The GEAR-NK technology can be modified to work concomitantly with many different monoclonal antibody treatments in which there are currently over 100 approved by the FDA. Anti-CD38 is only the first class of monoclonal antibody treatments being developed under the GEAR-NK platform. Therefore, the pursuit of FDA approval for the use of CD38 assets for at least one indication or medical device approval is at least reasonably expected. Further, as the diagnostic asset may be used as an in vitro technology, it could be classified as a medical device, and therefore toxicity studies would not be a contingency to be resolved before reasonably establishing future value assumptions. In addition, there is perceived value in the CD38 assets, based on publicly disclosed current business deals in cell therapies, the developing market for these innovative technologies, and current interest from third parties in these technologies. The Company may sell or license its right to another party, with the written consent of VyGen Bio, which cannot be unreasonably withheld. Furthermore, the Company believes that any negative results from ongoing development of a single therapy or use, would not result in abandoning the project. Given these considerations, The Company has determined that these options have alternative future use and should be recorded as assets pursuant to ASC 730-10-25-2.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Related to the joint development, Coeptis, under the direction of the joint steering committee, is assessing market opportunities, intellectual property protection, and potential regulatory strategies for the CD38 Assets. VyGen Bio is responsible for development activities conducted and overseen by the scientists at Karolinska Institute. The agreement does not currently require additional payments for R&amp;D costs by Coeptis and no additional payments are required upon development or regulatory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On April 14, 2022 the company entered into a Debt modification agreement with the note holder, extending the maturity to July 31, 2022. The extension was executed in exchange for consideration of warrants exchangeable for 400,000 shares of common stock at a price of $1.50 per share issued to the debt holders on January 28, 2022. See Note 5 for details of warrants. As of September 30, 2022, the balance of the note was $500,000 and the Company is in default of the agreement. i</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$0 as of September 30, 2022 and 2021, respectively.  </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$0 as of as of September 30, 2022 and 2021, respectively.</w:t>
      </w:r>
    </w:p>
    <w:p>
      <w:pPr>
        <w:spacing w:after="0" w:line="18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September 30, 2022 and 2021, respectively.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security agreement, together with interest at 8%, plus additional 2% in the event of default, was due February 8, 2021. On April 14, 2022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Debt modification agreement with the note holder, extending the maturity to July 31, 2022. The extension was executed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of warrants exchangeable for 250,000 shares of common stock at a price of $1.50 per share issued to the debt holders on January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details of warrants. The balance of the note is $117,000 at September 30, 2022. The Company is in default of the debt agreement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as of September 30, 2022, and 2021, respectively.  </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 The Company is in compliance with the debt agreement as of September 30, 2022.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$77,595 as of September 30, 2022 and 2021,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in the amount of $731. Installment payments have been deferred by the SBA until January 2023. The balance of principal and interest is payable thirty years from the date of the promissory note. The balance of the loan is $150,000, as of September 30,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gridSpan w:val="2"/>
            <w:shd w:val="clear" w:color="auto" w:fill="EEEEEE"/>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148,580</w:t>
            </w:r>
          </w:p>
        </w:tc>
        <w:tc>
          <w:tcPr>
            <w:tcW w:w="100" w:type="dxa"/>
            <w:vAlign w:val="bottom"/>
            <w:shd w:val="clear" w:color="auto" w:fill="EEEEEE"/>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September 30, 2022 the Company had 43,207,163 shares of its common stock issued and outstanding, and on September 30,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had 34,750,733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and 2021, the Company raised capital by issuance of common stock above the stated par value. The contributed capital recognized as additional paid in capital during the quarter ended September 30, 2022 and 2021 was $1,319,945 and $2,557,828, respectively. Contributed capital recognized as additional paid in capital during the nine-month periods ended September 30, 2022 and 2021 was $3,271,365 and $6,916,452. During the three and nine-month periods ended September 30, 2022 and 2021, there were $0 in capital distributions.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  </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the balance sheet dates presented, there were 0 shares of Series A Preferred outstanding.</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hereafter created, (ii) pari passu with any class or series of capital stock of the Corporation hereafter created and specifically ranking, by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on par with the Series B Preferred Stock and (iii) junior to any class or series of capital stock of the Corporation hereafter created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 by its terms, senior to the Series B Preferred Stock, in each case as to distribution of assets upon liquidation, dissolution or winding up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whether voluntary or involuntary.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into a 1,000 of fully paid and nonassessable shares of Common Stock; provided, however, that any Optional Conversion must involve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at least 100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470-20-40 and has determined that there is no beneficial conversion feature that must be accounted for as of December 31, 2021.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there were 8,000 shares of Series B Preferred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 for Class A or $5 for Class B. The warrants expire on November 30, 2023. The warrants also contain a cashless exercise provision and contained anti-dilution provisions. In October 2021, the Company was notified by the warrant holder that they intend to exercise its right to purchase shares of the Company under these warrants. However, the required cash payment has not been received, and as of September 30, 2022, all warrants remain outstanding.  </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Warrant Holder 1 - </w:t>
      </w: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purchase 500,000 shares of common stock at a price of $1 per share, 500,000 shares at $2 per share, and 500,000 shares at $5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expire on June 1, 2026. As part of the call, 2,500 warrants at $1 per share were exercised on July 28, 2022. As of September 30, 2022,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1,497,500 warrants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Warrant Holder 2 - </w:t>
      </w:r>
      <w:r>
        <w:rPr>
          <w:rFonts w:ascii="Times New Roman" w:cs="Times New Roman" w:eastAsia="Times New Roman" w:hAnsi="Times New Roman"/>
          <w:sz w:val="18"/>
          <w:szCs w:val="18"/>
          <w:color w:val="auto"/>
        </w:rPr>
        <w:t>On July 30, 2021, the Company issued a warrant to a third party in exchange for professional services, granting the warrant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purchase 200,000 shares of common stock at a price of $1 per share, 100,000 shares at $2 per share, and 100,000 shares at $5 per share. The warrants expire on July 26, 2026. As part of the call, 5,000 warrants at $1 per share were exercised on March 1, 2022, and 195,000 warrants at $1 per share and 75,000 warrants at $2 per share were exercised on June 27, 2022. 25,000 warrants at $2 per share expired on September 13, 2022 as a result of the call. As of September 30, 2022, there are 100,000 warrants outstanding.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 As of September 30, 2022, all warrants remain outstanding.</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Warrant Holder 3 – </w:t>
      </w:r>
      <w:r>
        <w:rPr>
          <w:rFonts w:ascii="Times New Roman" w:cs="Times New Roman" w:eastAsia="Times New Roman" w:hAnsi="Times New Roman"/>
          <w:sz w:val="18"/>
          <w:szCs w:val="18"/>
          <w:color w:val="auto"/>
        </w:rPr>
        <w:t>On December 20, 2021, the Company issued a warrant to a third party in exchange for services to be provided,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600,000 shares of common stock at a price of $1 per share. The warrants expire on December 20, 2026. As part of the call, 300,000 of the warrants were transferred to Warrant Holder 4, and 175,000 of the warrants were transferred to Warrant Holder 5. The remaining 115,000 warrants at $1 per share were exercised on August 19, 2022, and 10,000 warrants at $1 per share expired on September 13, 2022 as a result of the call. As of September 30, 2022, there are no warrants outstanding.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Warrant Holder 4 – </w:t>
      </w:r>
      <w:r>
        <w:rPr>
          <w:rFonts w:ascii="Times New Roman" w:cs="Times New Roman" w:eastAsia="Times New Roman" w:hAnsi="Times New Roman"/>
          <w:sz w:val="18"/>
          <w:szCs w:val="18"/>
          <w:color w:val="auto"/>
        </w:rPr>
        <w:t>On July 13, 2022, Warrant Holder 3 transferred 300,000 warrants to Warrant Holder 4 with the same terms. As part of a call, 300,000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at $1 per share were exercised on August 19, 2022. As of September 30, 2022, there are no warrants outstanding.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Warrant Holder 5 – </w:t>
      </w:r>
      <w:r>
        <w:rPr>
          <w:rFonts w:ascii="Times New Roman" w:cs="Times New Roman" w:eastAsia="Times New Roman" w:hAnsi="Times New Roman"/>
          <w:sz w:val="18"/>
          <w:szCs w:val="18"/>
          <w:color w:val="auto"/>
        </w:rPr>
        <w:t>On September 6, 2022, Warrant Holder 3 transferred 175,000 warrants to Warrant Holder 5 with the same terms, and on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9 transferred 200,000 to Warrant Holder 5 with the same terms. As of September 30, 2022, all warrants remain outstanding.</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Warrant Holder 6 – </w:t>
      </w: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holder the right to purchase 250,000 shares of common stock at a price of $1.50 per share. The warrants expire on January 31, 2024. The warrants were expensed immediately as a loss on extinguishment of debt. As of September 30, 2022, all warrants remain outstanding. Subsequently, on April 14, 2022, an agreement was executed with the debt holder extending the maturity of the debt to July 31, 2022 in recognition of the warrants issued on January 28, 2022. This amendment was treated as a debt modification.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Warrant Holder 7 - </w:t>
      </w: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holder the right to purchase 400,000 shares of common stock at a price of $1.50 per share. The warrants expire on January 31, 2024. The warrants expire on January 31, 2024. The warrants were expensed immediately as a loss on extinguishment of debt. As of September 30, 2022, all warrants remain outstanding. Subsequently, on April 14, 2022, an agreement was executed with the debt holder extending the maturity of the debt to July 31, 2022 in recognition of the warrants issued on January 28, 2022. This amendment was treated as a debt modification.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8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purchase 775,000 shares of common stock at a price of $1.50 per share. The warrants expire on January 31, 2024. As part of the call, 775,000 warrants at $1.50 per share were exercised on September 14, 2022. As of September 30, 2022, there are no warrants outstanding.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9 -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purchase 200,000 shares of common stock at a price of $1.50 per share. The warrants expire on January 31, 2024. As part of the call, all 200,000 warrants at $1.50 per share were transferred to Warrant Holder 5. As of September 30, 2022, there are no warrants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 Holder 10 -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350,000 shares of common stock at a price of $1.50 per share. The warrants expire on January 31, 2024. As part of the call, 53,334 warrants at $1.50 per share were exercised on March 1, 2022, 50,000 warrants at $1.50 per share were exercised on August 19, 2022 and 246,666 warrants at $1.50 per share were exercised on September 14, 2022. As of September 30, 2022, there are no warrants outstanding.</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Warrant Holder 11 -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150,000 shares of common stock at a price of $1 per share and 150,000 shares at $2 per share. The warrants expire on January 31, 2024. On April 14, 2022, the Company issued an additional warrant in exchange for professional services, granting the warrant holder the right to purchase an additional 170,000 shares of common stock at a price of $1.50 per share. The warrants expire on January 31, 2024. As of September 30, 2022, all warrants remain outstanding.</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 Holder 12 -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1,018,050 shares of common stock at a price of $1.50 per share. The warrants expire on January 31, 2024. As part of the call, 100,000 warrants at $1.50 per share were exercised on August 19, 2022, and 918,050 warrants at $1.50 per share were exercised on September 14, 2022. As of September 30, 2022, there are no warrants outstanding.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 Holder 13 -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225,000 shares of common stock at a price of $1.50 per share. The warrants expire on January 31, 2024. As part of the call, 15,000 warrants at $1.50 per share were exercised on March 1, 2022, and 210,000 warrants at $1.50 per share were exercised on September 14, 2022. As of September 30, 2022, there are no warrants outstanding.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14 -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100,000 shares of common stock at a price of $1 per share. The warrants expire on January 31, 2024. As part of the call, 100,000 warrants at $1 per share were exercised on August 19, 2022. As of September 30, 2022, there are no warrants outstanding.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15 -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100,000 shares of common stock at a price of $1.50 per share. The warrants expire on January 31, 2024. As part of the call, 100,000 warrants at $1.50 per share were exercised on September 14, 2022. As of September 30, 2022, there are no warrants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 Holder 16 -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100,000 shares of common stock at a price of $1.50 per share. The warrants expire on January 31, 2024. As part of the call, 25,000 warrants at $1.50 per share were exercised on June 27, 2022, and 75,000 warrants at $1.50 per share were exercised on September 14, 2022. As of September 30, 2022, there are no warrants outstanding.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17 - </w:t>
      </w:r>
      <w:r>
        <w:rPr>
          <w:rFonts w:ascii="Times New Roman" w:cs="Times New Roman" w:eastAsia="Times New Roman" w:hAnsi="Times New Roman"/>
          <w:sz w:val="18"/>
          <w:szCs w:val="18"/>
          <w:color w:val="auto"/>
        </w:rPr>
        <w:t>On January 28, 2022, the Company issued a warrant to a third party in exchange for professional services, granting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the right to purchase 52,050 shares of common stock at a price of $1.50 per share. The warrants expire on January 31, 2024. As part of the call, 52,050 warrants at $1.50 per share were exercised on September 14, 2022. As of September 30, 2022, there are no warrants outstanding.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18 - </w:t>
      </w:r>
      <w:r>
        <w:rPr>
          <w:rFonts w:ascii="Times New Roman" w:cs="Times New Roman" w:eastAsia="Times New Roman" w:hAnsi="Times New Roman"/>
          <w:sz w:val="18"/>
          <w:szCs w:val="18"/>
          <w:color w:val="auto"/>
        </w:rPr>
        <w:t>On March 30, 2022, the Company issued a warrant to a third party in conjunction with an investment, granting the warrant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purchase 250,000 shares of common stock at a price of $3 per share. The warrants expire on March 30, 2024. As of September 30, 2022, all warrants remain outstanding.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 Holder 19 - </w:t>
      </w:r>
      <w:r>
        <w:rPr>
          <w:rFonts w:ascii="Times New Roman" w:cs="Times New Roman" w:eastAsia="Times New Roman" w:hAnsi="Times New Roman"/>
          <w:sz w:val="18"/>
          <w:szCs w:val="18"/>
          <w:color w:val="auto"/>
        </w:rPr>
        <w:t>On March 30, 2022, the Company issued a warrant to a third party in exchange for professional services, granting the warrant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purchase 300,000 shares of common stock at a price of $1.50 per share. The warrants expire on April 1, 2027. As part of the call, 300,000 warrants at $1.50 per share were exercised on September 14, 2022. As of September 30, 2022, there are no warrants outstanding.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issued since May 28, 2021 and as of September 30,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19, 2022, Coeptis initiated a forced warrant conversation (the call) for certain warrants and on April 20, 2022, for additional warrants. The original expiration for the warrant conversions was set as May 19, 2022, and May 20, 2022. The expiration date was extended and moved to June 30, 2022. A second extension moved the expiration to July 15, 2022, and the third extension moved the expiration date for the warrant conversions to August 1, 2022. The final extension was extended and moved to September 13, 2022. Warrants part of the call that were not exercised by this date expired.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Warrant contract</w:t>
            </w:r>
          </w:p>
        </w:tc>
        <w:tc>
          <w:tcPr>
            <w:tcW w:w="1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02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shd w:val="clear" w:color="auto" w:fill="EEEEEE"/>
          </w:tcPr>
          <w:p>
            <w:pPr>
              <w:spacing w:after="0"/>
              <w:rPr>
                <w:sz w:val="19"/>
                <w:szCs w:val="19"/>
                <w:color w:val="auto"/>
              </w:rPr>
            </w:pPr>
          </w:p>
        </w:tc>
      </w:tr>
      <w:tr>
        <w:trPr>
          <w:trHeight w:val="210"/>
        </w:trPr>
        <w:tc>
          <w:tcPr>
            <w:tcW w:w="3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Coral Investment Partners 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0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 1</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1,500,000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July 28,2022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1,497,500</w:t>
            </w:r>
          </w:p>
        </w:tc>
        <w:tc>
          <w:tcPr>
            <w:tcW w:w="24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497,500</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0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 2</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March 1,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(225,000)</w:t>
            </w:r>
          </w:p>
        </w:tc>
        <w:tc>
          <w:tcPr>
            <w:tcW w:w="126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Expired - September 13,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Purple BioTech</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300,000</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3</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126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Transfer to Warrant Holder 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Transfer to Warrant Holder 5</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 19,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Expired - September 13,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 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Transfer from Warrant Holder 3</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 19,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5</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Transfer from Warrant Holder 3</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Transfer from Warrant Holder 9</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375,000</w:t>
            </w:r>
          </w:p>
        </w:tc>
        <w:tc>
          <w:tcPr>
            <w:tcW w:w="240" w:type="dxa"/>
            <w:vAlign w:val="bottom"/>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175,000</w:t>
            </w:r>
          </w:p>
        </w:tc>
        <w:tc>
          <w:tcPr>
            <w:tcW w:w="240" w:type="dxa"/>
            <w:vAlign w:val="bottom"/>
          </w:tcPr>
          <w:p>
            <w:pPr>
              <w:spacing w:after="0"/>
              <w:rPr>
                <w:sz w:val="20"/>
                <w:szCs w:val="20"/>
                <w:color w:val="auto"/>
              </w:rPr>
            </w:pPr>
          </w:p>
        </w:tc>
        <w:tc>
          <w:tcPr>
            <w:tcW w:w="10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w w:val="95"/>
              </w:rPr>
              <w:t>200,000</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 contract</w:t>
            </w:r>
          </w:p>
        </w:tc>
        <w:tc>
          <w:tcPr>
            <w:tcW w:w="14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0"/>
                <w:szCs w:val="20"/>
                <w:color w:val="auto"/>
              </w:rPr>
            </w:pPr>
          </w:p>
        </w:tc>
      </w:tr>
      <w:tr>
        <w:trPr>
          <w:trHeight w:val="210"/>
        </w:trPr>
        <w:tc>
          <w:tcPr>
            <w:tcW w:w="3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6</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7</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8</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775,000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775,000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(775,000)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(775,000)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9</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Transfer to Warrant Holder 5</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10</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March 1,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(53,334)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(53,334)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August 19,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(246,666)</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(246,666)</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11</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April 14, 2022</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470,000</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170,000</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12</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1,018,050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1,018,050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 19,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(918,050)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(918,050)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 13</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March 1,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14</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August 19,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15</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16</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June 27,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 contract</w:t>
            </w:r>
          </w:p>
        </w:tc>
        <w:tc>
          <w:tcPr>
            <w:tcW w:w="14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17</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2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(52,050)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(52,050)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Warrant Holder 18</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Warrant Holder 19</w:t>
            </w:r>
          </w:p>
        </w:tc>
        <w:tc>
          <w:tcPr>
            <w:tcW w:w="12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 14, 2022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4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warrants outstanding for purchase of shares:</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4,642,500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822,500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1,020,000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1,150,000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third lease extension extends the lease for twenty-four months, beginning on June 1, 2022 and ending on May 31, 2024.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both the quarter ended September 30, 2022 and 2021, rents paid totaled $11,250, and for both of the nine-month periods ended September 30, 2022 and 2021, rents paid totaled $33,750.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580" w:type="dxa"/>
            <w:vAlign w:val="bottom"/>
            <w:gridSpan w:val="2"/>
            <w:shd w:val="clear" w:color="auto" w:fill="EEEEEE"/>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29"/>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shd w:val="clear" w:color="auto" w:fill="EEEEEE"/>
          </w:tcPr>
          <w:p>
            <w:pPr>
              <w:spacing w:after="0"/>
              <w:rPr>
                <w:sz w:val="19"/>
                <w:szCs w:val="19"/>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(5,074)</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recorded a right of use asset of $68,541, and current and non-current lease liabilities of $9,834 and $56,341, respectively.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September 2021. As of September 30, 2022 and 2021, liabilities of $0 and $0, respectively, were recorded to reflect the minimum future royalty payments.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2020, the Company received royalty advances on future product sales from its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partner. These cumulative advances were recorded as deferred revenue of $1,000,000 at June 30, 2021.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 There were no royalty advances in the three- and nine-month periods ended September 30, 2022 and 2021.</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Potential Asset Acquisition </w:t>
      </w:r>
      <w:r>
        <w:rPr>
          <w:rFonts w:ascii="Times New Roman" w:cs="Times New Roman" w:eastAsia="Times New Roman" w:hAnsi="Times New Roman"/>
          <w:sz w:val="18"/>
          <w:szCs w:val="18"/>
          <w:color w:val="auto"/>
        </w:rPr>
        <w:t>— On April 6, 2022, the Company entered into a strategic agreement with Statera Biopharma, Inc.(“Statera”)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 giving Coeptis the exclusive right to negotiate a definitive agreement related to the acquisition by Coeptis of Statera’s toll-like receptor 5 (TLR5) agonist platform, including entolimod, a clinical-stage product currently being developed as a treatment for acute radiation syndrome. In August 2022 the Company and Statera mutually agreed to terminate the strategic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University of Pittsburgh Option Agreement </w:t>
      </w:r>
      <w:r>
        <w:rPr>
          <w:rFonts w:ascii="Times New Roman" w:cs="Times New Roman" w:eastAsia="Times New Roman" w:hAnsi="Times New Roman"/>
          <w:sz w:val="18"/>
          <w:szCs w:val="18"/>
          <w:color w:val="auto"/>
        </w:rPr>
        <w:t>- On April 29, 2022, Coeptis entered into an exclusive option agreement with University of Pittsburgh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three chimeric antigen receptor T cell (CAR-T) technologies that offer the potential to address a range of hematologic and solid tumors. Among the initial cancer indications under development are pre-clinical programs targeting breast cancer and ovarian cancer. The exclusive option agreement involves the intellectual property rights to three technologies jointly developed in the laboratories of Jason Lohmueller, Ph.D., Assistant Professor of Immunology; Alexander Deiters, Ph.D., Professor of Chemistry; and Olivera Finn, Ph.D., Professor of Immunology: 1) mSA2 affinity-enhanced biotin-binding CAR, 2) universal self-labeling SynNotch and CARs for programable antigen-targeting, and 3) conditional control of universal CAR-T cells through stimulus-reactive adaptors. Per the option agreement, Coeptis paid the University of Pittsburgh a non-refundable fee of $5,000 for the exclusive option to license the patent rights to each of the three technologies. Coeptis has until October 29, 2022, to exercise the options and pay the specified exercise considerations. The option agreement may be extended an additional six months, subject to the agreement of both parties.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 T License </w:t>
      </w:r>
      <w:r>
        <w:rPr>
          <w:rFonts w:ascii="Times New Roman" w:cs="Times New Roman" w:eastAsia="Times New Roman" w:hAnsi="Times New Roman"/>
          <w:sz w:val="18"/>
          <w:szCs w:val="18"/>
          <w:color w:val="auto"/>
        </w:rPr>
        <w:t>- On August 31, 2022, Coeptis entered into an exclusive license agreement with the University of Pittsburgh for certain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rights related to the universal self-labeling SynNotch and CARs for programable antigen-targeting technology platform. Coeptis paid the University of Pittsburgh a non-refundable fee in the amount of $75,000 for the exclusive patent rights to the licensed technology. Under the terms of the agreement, Coeptis has been assigned the worldwide development and commercialization rights to the licensed technology in the field of human treatment of cancer with antibody or antibody fragments using SNAP-CAR T cell technology, along with (i) an intellectual property portfolio consisting of issued and pending patents and (ii) options regarding future add-on technologies and developments. In consideration of these rights, Coeptis paid an initial license fee of $75,000, and will have annual maintenance fees ranging between $15,000 and $25,000, as well as developmental milestone payments (as defined in the agreement and royalties equal to 3.5% of net sales. Additionally, the agreement contemplates that we will enter into a Sponsored Research Agreement with the University of Pittsburgh within ninety days of the execution of the agreement, with the goal of further researching and optimizing the SNAP-CAR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401(k) PROFIT-SHARING PLAN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nine months ended September 30, 2022 and 2021, no employer contributions were made.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respectively, no income tax expense or benefit was recognized. The Company’s deferred tax assets are comprised primarily of net operating loss carryforwards. The Company maintains a full valuation allowance on its deferred tax assets since it has not yet achieved sustained profitable operations. As a result, the Company has not recorded any income tax benefit since its inception.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ind w:left="380" w:right="560" w:hanging="318"/>
        <w:spacing w:after="0" w:line="282"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6, 2022, Coeptis entered into an annual service agreement with ACF Equity Research Ltd. to provide independent equity valuation research.</w:t>
      </w:r>
    </w:p>
    <w:p>
      <w:pPr>
        <w:spacing w:after="0" w:line="161" w:lineRule="exact"/>
        <w:rPr>
          <w:rFonts w:ascii="Times New Roman" w:cs="Times New Roman" w:eastAsia="Times New Roman" w:hAnsi="Times New Roman"/>
          <w:sz w:val="18"/>
          <w:szCs w:val="18"/>
          <w:b w:val="1"/>
          <w:bCs w:val="1"/>
          <w:color w:val="auto"/>
        </w:rPr>
      </w:pPr>
    </w:p>
    <w:p>
      <w:pPr>
        <w:jc w:val="both"/>
        <w:ind w:left="380" w:hanging="318"/>
        <w:spacing w:after="0" w:line="256"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26, 2022, the Company held a special meeting of its stockholders in connection with its previously announced business combination with Bull Horn Holdings Corp. (“Bull Horn”) pursuant to that certain Agreement and Plan of Merger, dated as of April 18, 2022 (the “Merger Agreement”). There were sufficient votes to approve the merger and business combination. On October 28, 2022, the Company completed the merger and business combination with Bull Horn Holdings Corp.. In connection with the business combination, the combined company was renamed “Coeptis Therapeutics Holdings, Inc.” and its public shares and warrants commenced trading on the Nasdaq Global Market under the ticker symbols “COEP” and “COEPW,” respectively, on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and Section 12E of the Securities Exchange Act of 1934, including or related to our future results, certain projections and business trends. Assumptions relating to forward-looking statements involve judgments with respect to, among other things, future economic, competitive and market conditions and future business decisions, all of which are difficult or impossible to predict accurately and many of which are beyond our control. When used in this Report, the words “estimate,” “project,” “intend,” “believe,” “expect” and similar expressions are intended to identify forward-looking statements. Although we believe that assumptions underlying the forward-looking statements are reasonable, any of the assumptions could prove inaccurate, and we may not realize the results contemplated by the forward-looking statement. Management decisions are subjective in many respects and susceptible to interpretations and periodic revisions based on actual experience and business developments, the impact of which may cause us to alter our business strategy or capital expenditure plans that may, in turn, affect our results of operations. In light of the significant uncertainties inherent in the forward-looking information included in this Report, you should not regard the inclusion of such information as our representation that we will achieve any strategy, objective or other plans. The forward-looking statements contained in this Report speak only as of the date of this Report as stated on the front cover, and we have no obligation to update publicly or revise any of these forward-looking statements. These and other statements which are not historical facts are based largely on management’s current expectations and assumptions and are subject to a number of risks and uncertainties that could cause actual results to differ materially from those contemplated by such forward-looking statements. These risks and uncertainties include, among others, the failure to successfully develop a profitable business, delays in identifying customers, and the inability to retain a significant number of customers, as well as the risks and uncertainties described in “Risk Factors” section to our Annual Report for the fiscal year ended December 31, 2021.</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we use works like “we,” “us”, “our,” the “company” and words of the like, unless otherwise indicated, we are referring to the operations of us and our wholly-owned subsidiary Coeptis Pharmaceuticals, Inc. (“Coeptis”).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objective of our Management’s Discussion and Analysis of Financial Condition and Results of Operations (“MD&amp;A”) is to provide users of our financial statements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narrative explanation from the perspective of management of our financial condition, results of operations, cash flows, liquidity and certain other factors that may affect future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context to the financial statements;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allows assessment of the likelihood that past performance is indicative of future performance.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MD&amp;A is provided as a supplement to, and should be read together with, our unaudited financial statements for the three months ended September 30, 2022 and 2021, and the nine months ended September 30, 2022 and 2021,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Coeptis Therapeutics, Inc. (“Coeptis Therapeutics”), is a holding company that conducts its current operations through its wholly-owned subsidiary Coeptis Pharmaceuticals, Inc. (“Coeptis”). We are a pharmaceutical company which owns, acquires, and develops drug products and pharmaceutical technologies which offer improvements to current therapies. Our products and technologies are intended to be commercialized in the US and worldwide markets. Since Coeptis’ inception in 2017, it has acquired and commercialized two drug products for the U S market, which were approved as 505b2 applications. These anti-hypertension products were launched into the US market during 2020 through a marketing partner. At launch, the sales and promotional efforts were significantly impeded by the limitation of the global pandemic and as such, we have since abandoned all activities and ownership pertaining to both products. We also began the development of several ANDA products which we divested in 2019 to a larger generic pharmaceutical drug manufacturer, and have moved away from focusing on the commercialization of generic products. In early 2021, we entered into strategic partnerships to co-develop improved therapies for the auto-immune and oncology markets. Following the reverse merger transaction involving us and Coeptis, we continue to focus on identifying and investing resources into innovative products and technologies which we believe will significantly transform Coeptis’ current products and therapies.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and continuing through 2021, Coeptis faced several operational challenges related to the COVID-19 global pandemic, which we continue to work to overcome. The launch of both 5050b2 products was impacted because of various COVID-19 limitations, most notably field sales personnel were not able to make healthcare provider visits in person; thereby limiting the awareness of the availability of these products. We explored and implemented several non-personal promotion efforts, but given the global limitations and dynamics, it was challenging to achieve expected sales. We have since abandoned all activities and ownership pertaining to both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2021, we entered into two exclusive option agreements (the “CD38 Agreements”) relating to separate technologies designed to improve the treatment of CD38-related cancers (e.g., multiple myeloma, chronic lymphocytic leukemia, and acute myeloid leukemia) with VyGen-Bio, Inc. (“Vy-Gen”), a majority-owned subsidiary of Vycellix, Inc., a Tampa, Florida-based private, immuno-centric discovery life science company focused on the development of transformational platform technologies to enhance and optimize next-generation cell and gene-based therapies, including T cell and Natural Killer (NK) cell-based cancer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CD38-GEAR-NK</w:t>
      </w:r>
      <w:r>
        <w:rPr>
          <w:rFonts w:ascii="Times New Roman" w:cs="Times New Roman" w:eastAsia="Times New Roman" w:hAnsi="Times New Roman"/>
          <w:sz w:val="18"/>
          <w:szCs w:val="18"/>
          <w:color w:val="auto"/>
        </w:rPr>
        <w:t>. This Vy-Gen drug product candidate is designed to protect CD38+ NK cells from destruction by anti-CD38 monoclonal antibodies,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mAbs. CD38-GEAR-NK is an autologous, NK cell-based therapeutic that is derived from a patient’s own cells and gene-edited to enable combination therapy with anti-CD38 mAbs. We believe CD38-GEAR-NK possesses the potential to minimize the risks and side effects from CD38-positive NK cell fratricide.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 We believe CD38-GEAR-NK could potentially revolutionize how CD38-related cancers are treated, by protecting CD38+ NK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destruction by anti-CD38 mAbs, thereby promoting the opportunity to improve the treatment of CD38-related cancers, including multiple myeloma, chronic lymphocytic leukemia, and acute myeloid leukemia.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Multiple myeloma is expected to be the first cancer indication targeted with CD38-GEAR-NK. The global multiple myeloma market was $19.48B in 2018 and is expected to reach $31B by 2026 [Source: Fortune Business Reports].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CD38-Diagnostic</w:t>
      </w:r>
      <w:r>
        <w:rPr>
          <w:rFonts w:ascii="Times New Roman" w:cs="Times New Roman" w:eastAsia="Times New Roman" w:hAnsi="Times New Roman"/>
          <w:sz w:val="18"/>
          <w:szCs w:val="18"/>
          <w:color w:val="auto"/>
        </w:rPr>
        <w:t>. This Vy-Gen product candidate is an in vitro diagnostic tool to analyze if cancer patients might be appropriate candidates for anti-CD38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mAb therapy. CD38-Diagnostic is an in vitro screening tool that provides the ability to pre-determine which cancer patients are most likely to benefit from targeted anti-CD38 mAb therapies, either as monotherapy or in combination with CD38-GEAR-NK. CD38-Diagnostic also has the potential to develop as a platform technology beyond CD38, to identify patients likely to benefit for broad range of mAb therapies across myriad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 We believe CD38-Diagnostic provides opportunity to make more cost-effective medical decisions for the treatment of B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malignancies with high CD38 expression, including multiple myeloma, which may help to avoid unnecessary administration of anti-CD38 therapies. CD38-Diagnostic could prevent patients from being subjected to ineffective therapy and enable significant savings to healthcare systems.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CD38-Diagnostic could be offered as a companion diagnostic for determining patient suitability and likelihood of positive treatment outcomes for CD38-GEAR-NK and/or CD38 monoclonal antibody therapies.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GEAR-NK Product Overview</w:t>
      </w:r>
      <w:r>
        <w:rPr>
          <w:rFonts w:ascii="Times New Roman" w:cs="Times New Roman" w:eastAsia="Times New Roman" w:hAnsi="Times New Roman"/>
          <w:sz w:val="18"/>
          <w:szCs w:val="18"/>
          <w:color w:val="auto"/>
        </w:rPr>
        <w:t>. GEAR-NK is an autologous, gene-edited, natural killer cell-based therapeutic development platform that allows for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NK cells to be co-administered with targeted mAbs, which, in the absence of the GEAR-NK, would otherwise be neutralized by mAb therapy.</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we made initial payments totaling $750,000 under the CD38 Agreements, to acquire the exclusive options to acquire co-development rights with respect to CD38-GEAR-NK and CD38-Diagnostic. On August 15, 2021, we entered into amendments to each of the CD038 Agreements. In connection with the two amendments, we delivered to VyGen promissory notes aggregating $3,250,000 with maturity dates of December 31, 2021, and made a cash payment of $1,000,000, upon which cash payment we exercised the two definitive option purchase agreements. In December 2021, we completed our payment obligations to secure the 50% ownership interest in the CD38-Diagnostic, and also entered into an amendment of the CD038-GEAR-NK promissory note to extend the maturity date to September 30, 2022 and to increase the scalable downward adjustment percentage for the CD38-GEAR-NK product candidate to 25%. Pursuant to the CD038-GEAR-NK amendment, if the promissory note is timely paid by November 15, 2022, Coeptis will maintain its 50% ownership interest in the CD38-GEAR-NK product candidate, and if the CD38-GEAR-NK promissory note is not timely paid by November 15, 2022, Coeptis’ ownership interest in such assets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Exhibits 4.2 to the our Current Report on Form 8-K dated December 27, 2021.</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ownership in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Details of the co-development and steering committee agreement are summarized in our Current Report on Form 8-K dated December 27, 2021, including Exhibits 4.1 and 4.2 thereto.</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color w:val="auto"/>
        </w:rPr>
        <w:t>. In partnership with Vici Health Sciences, LLC (“Vici”), we are co-developing a drug product, CPT60621 – a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Parkinson’s Disease. Through this partnership, Vici and Coeptis would co-develop, seek FDA approval and share ownership rights to CPT60621.</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CPT60621 – a focus on Parkinson’s Disease</w:t>
      </w:r>
      <w:r>
        <w:rPr>
          <w:rFonts w:ascii="Times New Roman" w:cs="Times New Roman" w:eastAsia="Times New Roman" w:hAnsi="Times New Roman"/>
          <w:sz w:val="18"/>
          <w:szCs w:val="18"/>
          <w:color w:val="auto"/>
        </w:rPr>
        <w:t>. CPT60621 is a novel, ready to use, easy to swallow, oral liquid version of an already approved drug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treatment of Parkinson’s Disease (PD). The currently approved dosage form is only available as an oral solid tablet which can be difficult to swallow for some PD patients. Per Symphony Health data, an estimated 555,000 prescriptions are dispensed per year for the oral solid tablet version alone.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PD affected nearly 1,000,000 people in the U.S. in 2020, and nearly 10,000,000 people worldwide. Experts also predict that the PD affected rate is expected to increase at a rate of 2.2% per year for the next 10 years. The direct medical cost to treat PD is estimated to be over $25 billion per year, in which $4.1 billion of that is in medication cost alone.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Typical PD symptoms include thinking difficulties, uncontrolled shaking and tremors, loss of automatic movements, rigidity, and eating, speaking, and swallowing difficulties. During the course of their disease, nearly 80% of PD patients will develop a condition known as dysphagia which is defined as difficulty or discomfort in swallowing. Oral liquid dosage forms are easier to swallow than oral solid dosage forms. PD patients who suffer from dysphagia often must crush and dissolve tablets in juice in order to consume their medication. In more extreme cases, feeding tubes are utilized. This is costly to the healthcare system and is simply impractical.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CPT60621 can be administered to the patient using an easy-to-use oral syringe, eliminating time consuming, costly, and uncontrolled tablet crushing. This novel dosage form, if approved, we believe will fulfill a market need and provide a beneficial treatment option for many PD patients.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continue to direct our operational focus towards the Vy-Gen opportunities described elsewhere herein, we have recently shifted away from allocating priority resources to CPT60621.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generate revenue from product sales and technology licensing. We cannot be certain of the timing of this revenue and will likely need funding to support continuing operations and support our growth strategy. We may have to finance operations by offering any combination of equity offerings, debt financing, collaborations, strategic alliances, or other licensing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 date, we have generated minimal revenue mostly from consulting arrangements and product sales. Due to the COVID-19 global pandemic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resulting market dynamics, it is uncertain if the current marketed products can generate sufficient sales to cover expenses. If our strategic business discussions progress to agreements, we expect to generate additional revenue from collaboration partners.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General and administrative expenses consist primarily of salaries and related costs for personnel and professional fees for consulting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related to regulatory, pharmacovigilance, quality, legal, and business development. We expect that our general and administrative expenses will increase in the future as we increase our headcount to support the business growth. We also anticipate that we will incur increased accounting, audit, legal, regulatory, compliance, insurance, and investor relation expenses associated with operating as a public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developments costs will continue to be dependent on the strategic business collaborations and agreements will are anticipating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development costs to increase to support our new strategic initiatives.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September 30, 2021</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and $75,000 recorded in the three months ended September 30,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Operating expenses decreased from $6,947,898 in the three months ended September 30, 2021 to $5,568,709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2022. The decrease is mainly due to lower professional services fees, as well as warrant expense.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For the three months ended September 30, 2022 and 2021, general and administrative expenses are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All costs incurred can be attributed to the planned principal operations of product development, raising capital, and building infrastructure. In addition, a substantial amount of General and Administrative Expenses resulted from warrant expense. The warrants issued as of September 30,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 General and Administrative Expenses for the three months ended September 30, 2022 was $5,488,539 and was $6,759,339 for the three months ended September 30, 2021. Management may separate out G&amp;A expenses in 2022 and 2021, especially if new personnel are hired consistent with the Company’s financial regulatory and filings obligations as a publicly traded entity.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$56,423 for the three months ended September 30, 2022 and was $188,559 for the three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2021. Interest was related to notes payable, which are discussed in detail in the Footnotes to the financial statements, incorporated by reference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September 30, 2021</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which were generated from consulting agreements of $0 for the nine months ended September 30, 2022 and $75,000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2021.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Operating expenses increased from $11,347,048 in the nine months ended September 30, 2021 to $31,152,697 in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2022. The increase is mainly due to higher professional services related to the merger transaction, as well as warrant expense.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For the nine months ended September 30, 2022 and 2021, general and administrative expenses are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All costs incurred can be attributed to the planned principal operations of product development, raising capital, and building infrastructure. In addition, a substantial amount of General and Administrative Expenses result from warrant expense. The warrants issued as of September 30,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 General and Administrative Expenses for the nine months ended September 30, 2022 was $30,948,831 and was $11,077,747 for the nine months ended September 30, 2021. Management may separate out G&amp;A expenses in 2022 and 2021, especially if new personnel are hired consistent with the Company’s financial regulatory and filings obligations as a publicly traded entity.</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$176,068 and $266,382 for the nine months ended September 30, 2022 and 2021, respectively. Interest was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notes payable, which are discussed in detail in the Footnotes to the financial statements, incorporated by reference herein.</w:t>
      </w:r>
    </w:p>
    <w:p>
      <w:pPr>
        <w:spacing w:after="0" w:line="15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Resources and Liquidity. </w:t>
      </w:r>
      <w:r>
        <w:rPr>
          <w:rFonts w:ascii="Times New Roman" w:cs="Times New Roman" w:eastAsia="Times New Roman" w:hAnsi="Times New Roman"/>
          <w:sz w:val="18"/>
          <w:szCs w:val="18"/>
          <w:color w:val="auto"/>
        </w:rPr>
        <w:t>The Company had limited financial resources during the twelve months ended December 31, 2021 with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$2,179,558. For the period ending September 30, 2022, cash and cash equivalents increased to $7,370,909. During both these time periods, the Company continues to operate a minimal infrastructure in order to maintain its ability to fund operations, keep full focus on all product development targets and to stay current with all of the Company’s scientist consultants, legal counsel, and accountants. During 2022, the Company believes that the ability to raise capital through equity transactions will increase liquidity and enable the execution of management’s operating strategy.</w:t>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principal executive and principal financial officers,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the end of the period covered by this Report on Form 10-Q. Based upon that evaluation, and as a result of the material weaknesses described below, our principal executive officer and principal financial officer concluded that, as of September 30, 2021, our disclosure controls and procedures were not effective. Management anticipates that such disclosure controls and procedures will not be effective until the material weaknesses are remediated.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 on Form 10-K contains information regarding a material weakness in our internal control over financial reporting as of December 31, 2020. For example, the Company lacked adequate segregation of duties which led to situations where individuals had access to both initiate and approve transactions with no additional formal review process.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an effort to address the Company’s internal accounting personnel deficiencies, in February 2021 we hired a consulting group to assist our Chief Financial Officer.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10-KT for the fiscal year ended December 31, 2021, which could materially affect our business, financial condition or future results. The risks described in our Transition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issued (i) 1,200,499 shares of our common stock in connection with an offering of our common stock that was made in reliance upon an exemption from registration provided by Regulation A Section 506(b) of Regulation D and (ii) 3,816,766 shares of our common stock upon the exercise of outstanding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previously disclosed all other sales of securities without registration under the Securities Act of 1933, as amended.</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exhibits are attached hereto or incorporated by reference herein (numbered to correspond to Item 601(a) of Regulation S-K, as promulgated by the Securities and Exchange Commission) and are filed as part of this Form 10-Q:</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 xml:space="preserve">Rule 13a-14(a)/15(d)-14(a) Certification of Chief Executive Officer, Principal Executive Officer.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Rule 13a-14(a)/15(d)-14(a) Certification of President, Principal Financial Officer. </w:t>
            </w:r>
            <w:r>
              <w:rPr>
                <w:rFonts w:ascii="Times New Roman" w:cs="Times New Roman" w:eastAsia="Times New Roman" w:hAnsi="Times New Roman"/>
                <w:sz w:val="18"/>
                <w:szCs w:val="18"/>
                <w:color w:val="000000"/>
              </w:rPr>
              <w:t>Filed herewith.</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8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1350 Certification of Principal Executive Officer. </w:t>
            </w:r>
            <w:r>
              <w:rPr>
                <w:rFonts w:ascii="Times New Roman" w:cs="Times New Roman" w:eastAsia="Times New Roman" w:hAnsi="Times New Roman"/>
                <w:sz w:val="18"/>
                <w:szCs w:val="18"/>
                <w:color w:val="000000"/>
              </w:rPr>
              <w:t>Filed herewith.</w:t>
            </w:r>
          </w:p>
        </w:tc>
        <w:tc>
          <w:tcPr>
            <w:tcW w:w="410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880" w:type="dxa"/>
            <w:vAlign w:val="bottom"/>
            <w:tcBorders>
              <w:left w:val="single" w:sz="8" w:color="0000EE"/>
            </w:tcBorders>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1350 Certification of Principal Financial Officer.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b w:val="1"/>
                <w:bCs w:val="1"/>
                <w:color w:val="auto"/>
              </w:rPr>
              <w:t>COEPTIS THERAPEUTICS, INC.</w:t>
            </w:r>
          </w:p>
        </w:tc>
      </w:tr>
      <w:tr>
        <w:trPr>
          <w:trHeight w:val="234"/>
        </w:trPr>
        <w:tc>
          <w:tcPr>
            <w:tcW w:w="3660" w:type="dxa"/>
            <w:vAlign w:val="bottom"/>
          </w:tcPr>
          <w:p>
            <w:pPr>
              <w:spacing w:after="0"/>
              <w:rPr>
                <w:sz w:val="20"/>
                <w:szCs w:val="20"/>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Registrant</w:t>
            </w:r>
          </w:p>
        </w:tc>
      </w:tr>
      <w:tr>
        <w:trPr>
          <w:trHeight w:val="39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By: /s/ David Mehalick</w:t>
            </w:r>
          </w:p>
        </w:tc>
      </w:tr>
      <w:tr>
        <w:trPr>
          <w:trHeight w:val="20"/>
        </w:trPr>
        <w:tc>
          <w:tcPr>
            <w:tcW w:w="3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8"/>
        </w:trPr>
        <w:tc>
          <w:tcPr>
            <w:tcW w:w="3660" w:type="dxa"/>
            <w:vAlign w:val="bottom"/>
          </w:tcPr>
          <w:p>
            <w:pPr>
              <w:spacing w:after="0"/>
              <w:rPr>
                <w:sz w:val="18"/>
                <w:szCs w:val="18"/>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660" w:type="dxa"/>
            <w:vAlign w:val="bottom"/>
          </w:tcPr>
          <w:p>
            <w:pPr>
              <w:spacing w:after="0"/>
              <w:rPr>
                <w:sz w:val="20"/>
                <w:szCs w:val="20"/>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60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By: /s/ Christine Sheehy</w:t>
            </w:r>
          </w:p>
        </w:tc>
      </w:tr>
      <w:tr>
        <w:trPr>
          <w:trHeight w:val="20"/>
        </w:trPr>
        <w:tc>
          <w:tcPr>
            <w:tcW w:w="3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218"/>
        </w:trPr>
        <w:tc>
          <w:tcPr>
            <w:tcW w:w="3660" w:type="dxa"/>
            <w:vAlign w:val="bottom"/>
          </w:tcPr>
          <w:p>
            <w:pPr>
              <w:spacing w:after="0"/>
              <w:rPr>
                <w:sz w:val="18"/>
                <w:szCs w:val="18"/>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Christine Sheehy</w:t>
            </w:r>
          </w:p>
        </w:tc>
      </w:tr>
      <w:tr>
        <w:trPr>
          <w:trHeight w:val="234"/>
        </w:trPr>
        <w:tc>
          <w:tcPr>
            <w:tcW w:w="3660" w:type="dxa"/>
            <w:vAlign w:val="bottom"/>
          </w:tcPr>
          <w:p>
            <w:pPr>
              <w:spacing w:after="0"/>
              <w:rPr>
                <w:sz w:val="20"/>
                <w:szCs w:val="20"/>
                <w:color w:val="auto"/>
              </w:rPr>
            </w:pPr>
          </w:p>
        </w:tc>
        <w:tc>
          <w:tcPr>
            <w:tcW w:w="66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792" w:right="7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Mehalick, certify that:</w:t>
      </w:r>
    </w:p>
    <w:p>
      <w:pPr>
        <w:spacing w:after="0" w:line="225" w:lineRule="exact"/>
        <w:rPr>
          <w:sz w:val="20"/>
          <w:szCs w:val="20"/>
          <w:color w:val="auto"/>
        </w:rPr>
      </w:pPr>
    </w:p>
    <w:p>
      <w:pPr>
        <w:ind w:left="1040" w:hanging="44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Coeptis Therapeutics, Inc. (the “Registrant”);</w:t>
      </w:r>
    </w:p>
    <w:p>
      <w:pPr>
        <w:spacing w:after="0" w:line="225" w:lineRule="exact"/>
        <w:rPr>
          <w:rFonts w:ascii="Times New Roman" w:cs="Times New Roman" w:eastAsia="Times New Roman" w:hAnsi="Times New Roman"/>
          <w:sz w:val="18"/>
          <w:szCs w:val="18"/>
          <w:color w:val="auto"/>
        </w:rPr>
      </w:pPr>
    </w:p>
    <w:p>
      <w:pPr>
        <w:jc w:val="both"/>
        <w:ind w:firstLine="598"/>
        <w:spacing w:after="0" w:line="266" w:lineRule="auto"/>
        <w:tabs>
          <w:tab w:leader="none" w:pos="11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580" w:firstLine="598"/>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98"/>
        <w:spacing w:after="0" w:line="266" w:lineRule="auto"/>
        <w:tabs>
          <w:tab w:leader="none" w:pos="10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for the Registrant and have:</w:t>
      </w:r>
    </w:p>
    <w:p>
      <w:pPr>
        <w:spacing w:after="0" w:line="175"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1181"/>
        <w:spacing w:after="0" w:line="282" w:lineRule="auto"/>
        <w:tabs>
          <w:tab w:leader="none" w:pos="16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2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right="760" w:firstLine="598"/>
        <w:spacing w:after="0" w:line="312" w:lineRule="auto"/>
        <w:tabs>
          <w:tab w:leader="none" w:pos="103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right="180" w:firstLine="1181"/>
        <w:spacing w:after="0" w:line="282"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80" w:firstLine="1181"/>
        <w:spacing w:after="0" w:line="282" w:lineRule="auto"/>
        <w:tabs>
          <w:tab w:leader="none" w:pos="16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540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54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w:t>
            </w:r>
          </w:p>
        </w:tc>
      </w:tr>
    </w:tbl>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Sheehy, certify that:</w:t>
      </w:r>
    </w:p>
    <w:p>
      <w:pPr>
        <w:spacing w:after="0" w:line="225" w:lineRule="exact"/>
        <w:rPr>
          <w:sz w:val="20"/>
          <w:szCs w:val="20"/>
          <w:color w:val="auto"/>
        </w:rPr>
      </w:pPr>
    </w:p>
    <w:p>
      <w:pPr>
        <w:ind w:left="1040" w:hanging="44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Coeptis Therapeutics, Inc. (the “Registrant”);</w:t>
      </w:r>
    </w:p>
    <w:p>
      <w:pPr>
        <w:spacing w:after="0" w:line="225" w:lineRule="exact"/>
        <w:rPr>
          <w:rFonts w:ascii="Times New Roman" w:cs="Times New Roman" w:eastAsia="Times New Roman" w:hAnsi="Times New Roman"/>
          <w:sz w:val="18"/>
          <w:szCs w:val="18"/>
          <w:color w:val="auto"/>
        </w:rPr>
      </w:pPr>
    </w:p>
    <w:p>
      <w:pPr>
        <w:jc w:val="both"/>
        <w:ind w:firstLine="598"/>
        <w:spacing w:after="0" w:line="266" w:lineRule="auto"/>
        <w:tabs>
          <w:tab w:leader="none" w:pos="11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580" w:firstLine="59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98"/>
        <w:spacing w:after="0" w:line="266" w:lineRule="auto"/>
        <w:tabs>
          <w:tab w:leader="none" w:pos="10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for the Registrant and have:</w:t>
      </w:r>
    </w:p>
    <w:p>
      <w:pPr>
        <w:spacing w:after="0" w:line="175"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8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1181"/>
        <w:spacing w:after="0" w:line="282" w:lineRule="auto"/>
        <w:tabs>
          <w:tab w:leader="none" w:pos="16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1181"/>
        <w:spacing w:after="0" w:line="266" w:lineRule="auto"/>
        <w:tabs>
          <w:tab w:leader="none" w:pos="172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right="760" w:firstLine="598"/>
        <w:spacing w:after="0" w:line="312" w:lineRule="auto"/>
        <w:tabs>
          <w:tab w:leader="none" w:pos="103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right="180" w:firstLine="1181"/>
        <w:spacing w:after="0" w:line="282" w:lineRule="auto"/>
        <w:tabs>
          <w:tab w:leader="none" w:pos="16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80" w:firstLine="1181"/>
        <w:spacing w:after="0" w:line="282" w:lineRule="auto"/>
        <w:tabs>
          <w:tab w:leader="none" w:pos="16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Sheehy</w:t>
            </w:r>
          </w:p>
        </w:tc>
      </w:tr>
      <w:tr>
        <w:trPr>
          <w:trHeight w:val="191"/>
        </w:trPr>
        <w:tc>
          <w:tcPr>
            <w:tcW w:w="540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Christine Sheehy</w:t>
            </w:r>
          </w:p>
        </w:tc>
      </w:tr>
      <w:tr>
        <w:trPr>
          <w:trHeight w:val="234"/>
        </w:trPr>
        <w:tc>
          <w:tcPr>
            <w:tcW w:w="54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and Accounting Officer</w:t>
            </w:r>
          </w:p>
        </w:tc>
      </w:tr>
    </w:tbl>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pursuant to 18 U.S.C. Section 1350, as adopted pursuant to Section 906 of the Sarbanes-Oxley Act of 2002, that this Quarterly Report on Form 10-Q for the period ended September 30, 2022 fully complies with the requirements of Section 13(a) or 15(d) of the Securities Exchange Act of 1934, as amended, and the information contained in such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pursuant to 18 U.S.C. Section 1350, as adopted pursuant to Section 906 of the Sarbanes-Oxley Act of 2002, that this Quarterly Report on Form 10-Q for the period ended September 30, 2022 fully complies with the requirements of Section 13(a) or 15(d) of the Securities Exchange Act of 1934, as amended, and the information contained in such report fairly presents, in all material respects, the financial condition and results of operations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Sheehy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Christine Sheehy</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04"/>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2022-11-08T13:59:12Z</dcterms:created>
  <dcterms:modified xsi:type="dcterms:W3CDTF">2022-11-08T13:59:12Z</dcterms:modified>
</cp:coreProperties>
</file>