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15</w:t>
      </w:r>
    </w:p>
    <w:p>
      <w:pPr>
        <w:spacing w:after="0" w:line="381" w:lineRule="exact"/>
        <w:rPr>
          <w:sz w:val="24"/>
          <w:szCs w:val="24"/>
          <w:color w:val="auto"/>
        </w:rPr>
      </w:pPr>
    </w:p>
    <w:p>
      <w:pPr>
        <w:jc w:val="center"/>
        <w:ind w:left="1160" w:right="940"/>
        <w:spacing w:after="0" w:line="291" w:lineRule="auto"/>
        <w:rPr>
          <w:sz w:val="20"/>
          <w:szCs w:val="20"/>
          <w:color w:val="auto"/>
        </w:rPr>
      </w:pPr>
      <w:r>
        <w:rPr>
          <w:rFonts w:ascii="Times New Roman" w:cs="Times New Roman" w:eastAsia="Times New Roman" w:hAnsi="Times New Roman"/>
          <w:sz w:val="17"/>
          <w:szCs w:val="17"/>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000-56194</w:t>
      </w: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 Bradford Rd., Suite 420, Wexford, PA 15090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4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100"/>
          </w:cols>
          <w:pgMar w:left="320" w:top="441" w:right="47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Rule 12g-4(a)(1) </w:t>
      </w:r>
      <w:r>
        <w:rPr>
          <w:rFonts w:ascii="MS PGothic" w:cs="MS PGothic" w:eastAsia="MS PGothic" w:hAnsi="MS PGothic"/>
          <w:sz w:val="17"/>
          <w:szCs w:val="17"/>
          <w:color w:val="auto"/>
        </w:rPr>
        <w:t>☒</w:t>
      </w:r>
    </w:p>
    <w:p>
      <w:pPr>
        <w:spacing w:after="0" w:line="69" w:lineRule="exact"/>
        <w:rPr>
          <w:sz w:val="24"/>
          <w:szCs w:val="24"/>
          <w:color w:val="auto"/>
        </w:rPr>
      </w:pPr>
    </w:p>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Rule 12g-4(a)(2)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12h-3(b)(1)(i)</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15d-6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1" w:lineRule="exact"/>
        <w:rPr>
          <w:sz w:val="24"/>
          <w:szCs w:val="24"/>
          <w:color w:val="auto"/>
        </w:rPr>
      </w:pPr>
    </w:p>
    <w:p>
      <w:pPr>
        <w:sectPr>
          <w:pgSz w:w="11900" w:h="16838" w:orient="portrait"/>
          <w:cols w:equalWidth="0" w:num="3">
            <w:col w:w="6140" w:space="720"/>
            <w:col w:w="1440" w:space="80"/>
            <w:col w:w="2720"/>
          </w:cols>
          <w:pgMar w:left="320" w:top="441" w:right="479" w:bottom="1440" w:gutter="0" w:footer="0" w:header="0"/>
          <w:type w:val="continuous"/>
        </w:sectPr>
      </w:pPr>
    </w:p>
    <w:p>
      <w:pPr>
        <w:spacing w:after="0" w:line="2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w:t>
      </w:r>
    </w:p>
    <w:p>
      <w:pPr>
        <w:sectPr>
          <w:pgSz w:w="11900" w:h="16838" w:orient="portrait"/>
          <w:cols w:equalWidth="0" w:num="1">
            <w:col w:w="11100"/>
          </w:cols>
          <w:pgMar w:left="320" w:top="441" w:right="47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firstLine="5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Coeptis Therapeutics, Inc. has caused this certification/notice to be signed on its behalf by the undersigned duly authorized person.</w:t>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December 14, 2022</w:t>
            </w:r>
          </w:p>
        </w:tc>
        <w:tc>
          <w:tcPr>
            <w:tcW w:w="62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David Mehalick</w:t>
            </w: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Mehalick</w:t>
            </w:r>
          </w:p>
        </w:tc>
      </w:tr>
      <w:tr>
        <w:trPr>
          <w:trHeight w:val="234"/>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sectPr>
      <w:pgSz w:w="11900" w:h="16838" w:orient="portrait"/>
      <w:cols w:equalWidth="0" w:num="1">
        <w:col w:w="11100"/>
      </w:cols>
      <w:pgMar w:left="320" w:top="441"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2022-12-14T11:12:40Z</dcterms:created>
  <dcterms:modified xsi:type="dcterms:W3CDTF">2022-12-14T11:12:40Z</dcterms:modified>
</cp:coreProperties>
</file>