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0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Coeptis Therapeutics, Inc.</w:t>
      </w:r>
    </w:p>
    <w:p>
      <w:pPr>
        <w:spacing w:after="0" w:line="2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w:t>
      </w:r>
    </w:p>
    <w:p>
      <w:pPr>
        <w:spacing w:after="0" w:line="1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w:t>
      </w:r>
    </w:p>
    <w:p>
      <w:pPr>
        <w:spacing w:after="0" w:line="39"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2134870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 Bradford Rd, Suite 420,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Wexford, Pennsylvania 15090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Coeptis Therapeutics, Inc:</w:t>
      </w:r>
    </w:p>
    <w:p>
      <w:pPr>
        <w:spacing w:after="0" w:line="22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behalf of the board of directors of Coeptis Therapeutics, Inc. (“</w:t>
      </w:r>
      <w:r>
        <w:rPr>
          <w:rFonts w:ascii="Times New Roman" w:cs="Times New Roman" w:eastAsia="Times New Roman" w:hAnsi="Times New Roman"/>
          <w:sz w:val="18"/>
          <w:szCs w:val="18"/>
          <w:u w:val="single" w:color="auto"/>
          <w:color w:val="auto"/>
        </w:rPr>
        <w:t>Coeptis</w:t>
      </w:r>
      <w:r>
        <w:rPr>
          <w:rFonts w:ascii="Times New Roman" w:cs="Times New Roman" w:eastAsia="Times New Roman" w:hAnsi="Times New Roman"/>
          <w:sz w:val="18"/>
          <w:szCs w:val="18"/>
          <w:color w:val="auto"/>
        </w:rPr>
        <w:t>”) we are pleased to enclose the proxy statement relating to the proposed merger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of a wholly-owned subsidiary of Bull Horn Holdings Corp., a British Virgin Island Company (“</w:t>
      </w:r>
      <w:r>
        <w:rPr>
          <w:rFonts w:ascii="Times New Roman" w:cs="Times New Roman" w:eastAsia="Times New Roman" w:hAnsi="Times New Roman"/>
          <w:sz w:val="18"/>
          <w:szCs w:val="18"/>
          <w:u w:val="single" w:color="auto"/>
          <w:color w:val="auto"/>
        </w:rPr>
        <w:t>Bull Horn</w:t>
      </w:r>
      <w:r>
        <w:rPr>
          <w:rFonts w:ascii="Times New Roman" w:cs="Times New Roman" w:eastAsia="Times New Roman" w:hAnsi="Times New Roman"/>
          <w:sz w:val="18"/>
          <w:szCs w:val="18"/>
          <w:color w:val="auto"/>
        </w:rPr>
        <w:t>”), with and into Coeptis, pursuant to an Agreement and Plan of Merger dated effective as of April 18, 2022 (as may be further amended or supplemented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Bull Horn, Coeptis and certain other parties. It is proposed that prior to the closing of the Business Combination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Bull Horn will domesticate by changing its domicile from the British Virgin Islands to the State of Delaware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and will, in connection with the Closing, change its name to “Coeptis Therapeutics Holdings, Inc.” Coeptis Therapeutics Holdings, Inc. and Bull Horn, following the Business Combination, are referred to herein collectively as the “Company.”</w:t>
      </w:r>
    </w:p>
    <w:p>
      <w:pPr>
        <w:spacing w:after="0" w:line="189"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and the other matters described herein, you are cordially invited to attend the special meeting of stockholders (the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of Coeptis, to be held at 10:00 a.m. Eastern Time, on October 26, 2022. Only stockholders who held shares of voting securities of Coeptis at the close of business on September 16, 2022 will be entitled to attend and vote at the Stockholders Meeting and at any adjournments and postponements thereof.</w:t>
      </w:r>
    </w:p>
    <w:p>
      <w:pPr>
        <w:spacing w:after="0" w:line="180"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Stockholders Meeting will be a completely virtual meeting of stockholders, which will be conducted via live webcast. You will be able to attend the Stockholders Meeting online and vote during the Stockholders Meeting by visiting www.virtualshareholdermeeting.com/COEP2022SM. We are pleased to utilize the virtual stockholders meeting technology in order to (i) provide ready access and cost savings for our stockholders, and (ii) promote social distancing pursuant to guidance provided by the Centers for Disease Control and Prevention and the U.S. Securities and Exchange Commission due to COVID-19. The virtual meeting format allows you to attend the Stockholders Meeting from any location in the world.</w:t>
      </w:r>
    </w:p>
    <w:p>
      <w:pPr>
        <w:spacing w:after="0" w:line="183" w:lineRule="exact"/>
        <w:rPr>
          <w:sz w:val="20"/>
          <w:szCs w:val="20"/>
          <w:color w:val="auto"/>
        </w:rPr>
      </w:pPr>
    </w:p>
    <w:p>
      <w:pPr>
        <w:ind w:right="100" w:firstLine="432"/>
        <w:spacing w:after="0" w:line="270" w:lineRule="auto"/>
        <w:rPr>
          <w:sz w:val="20"/>
          <w:szCs w:val="20"/>
          <w:color w:val="auto"/>
        </w:rPr>
      </w:pPr>
      <w:r>
        <w:rPr>
          <w:rFonts w:ascii="Times New Roman" w:cs="Times New Roman" w:eastAsia="Times New Roman" w:hAnsi="Times New Roman"/>
          <w:sz w:val="17"/>
          <w:szCs w:val="17"/>
          <w:color w:val="auto"/>
        </w:rPr>
        <w:t>Bull Horn is a blank check company incorporated on November 27, 2018 as a British Virgin Islands business company and incorporated for the purpose of effecting a merger, share exchange, share reconstruction or amalgamation, asset or share acquisition, a contractual arrangement or other similar business combination transaction. Bull Horn’s units, ordinary shares and warrants are traded on The Nasdaq Capital Market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under the symbols “BHSEU”, “BHSE” and “BHSEW,” respectively. On September 28, 2022, the closing sale prices of Bull Horn’s units, ordinary shares and warrants were</w:t>
      </w:r>
    </w:p>
    <w:p>
      <w:pPr>
        <w:spacing w:after="0" w:line="3" w:lineRule="exact"/>
        <w:rPr>
          <w:sz w:val="20"/>
          <w:szCs w:val="20"/>
          <w:color w:val="auto"/>
        </w:rPr>
      </w:pPr>
    </w:p>
    <w:p>
      <w:pPr>
        <w:ind w:firstLine="8"/>
        <w:spacing w:after="0" w:line="253" w:lineRule="auto"/>
        <w:tabs>
          <w:tab w:leader="none" w:pos="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10.19, $ 10.17 and $0.033, respectively. At the closing of the Business Combination, the units will separate into shares of common stock and warrants and the units will no longer trade on Nasdaq. Bull Horn has applied for the listing of the common stock and warrants of the Company on Nasdaq following the completion of the Business Combination under the symbols “COEP” and “COEPW,” respectively. On September 28, 2022, the closing price of Coeptis’ common stock, as listed on the OTC Pink under the symbol “COEP”, was $2.02.</w:t>
      </w:r>
    </w:p>
    <w:p>
      <w:pPr>
        <w:spacing w:after="0" w:line="189"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At the Stockholders Meeting, Coeptis’ stockholders will be asked to vote on the following proposals, as more fully described in the accompanying proxy statement: (i) the Business Combination Proposal, and (ii) the Adjournment Proposal, if presented (collectively, the “</w:t>
      </w:r>
      <w:r>
        <w:rPr>
          <w:rFonts w:ascii="Times New Roman" w:cs="Times New Roman" w:eastAsia="Times New Roman" w:hAnsi="Times New Roman"/>
          <w:sz w:val="18"/>
          <w:szCs w:val="18"/>
          <w:u w:val="single" w:color="auto"/>
          <w:color w:val="auto"/>
        </w:rPr>
        <w:t>Proposals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RECORD DATE AND VOTING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Coeptis’ board of directors unanimously recommends that Coeptis’ stockholders vote “FOR” each of the Proposals to be presented to them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obligations of Bull Horn and Coeptis to complete the Business Combination are subject to a number of conditions set forth in the Merger Agreement and are summarized in the accompanying proxy statement. More information about Bull Horn and Coeptis, the Stockholders Meeting and the transactions contemplated by the Merger Agreement is contained in the accompanying proxy statement. In particular, when you consider the recommendation regarding the Proposals by the board of directors of Coeptis, you should keep in mind that Coeptis’ directors and officers have interests in the Business Combination that are different from or in addition to, or may conflict with, your interests as a Coeptis stockholder. For instance, certain principals of Coeptis who received their equity in Coeptis at different prices than some of the other Coeptis stockholders, may be incentivized to complete the Business combination, even if the transaction is unfavorable to the stockholders of Coeptis. </w:t>
      </w:r>
      <w:r>
        <w:rPr>
          <w:rFonts w:ascii="Times New Roman" w:cs="Times New Roman" w:eastAsia="Times New Roman" w:hAnsi="Times New Roman"/>
          <w:sz w:val="18"/>
          <w:szCs w:val="18"/>
          <w:b w:val="1"/>
          <w:bCs w:val="1"/>
          <w:color w:val="auto"/>
        </w:rPr>
        <w:t>You are encouraged to read the accompanying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 in its entirety, including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32.</w:t>
      </w:r>
    </w:p>
    <w:p>
      <w:pPr>
        <w:spacing w:after="0" w:line="188" w:lineRule="exact"/>
        <w:rPr>
          <w:sz w:val="20"/>
          <w:szCs w:val="20"/>
          <w:color w:val="auto"/>
        </w:rPr>
      </w:pPr>
    </w:p>
    <w:p>
      <w:pPr>
        <w:ind w:right="24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very important</w:t>
      </w:r>
      <w:r>
        <w:rPr>
          <w:rFonts w:ascii="Times New Roman" w:cs="Times New Roman" w:eastAsia="Times New Roman" w:hAnsi="Times New Roman"/>
          <w:sz w:val="18"/>
          <w:szCs w:val="18"/>
          <w:color w:val="auto"/>
        </w:rPr>
        <w:t>. As a condition to the completion of the Business Combination, an affirmative vote of holders of a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of Coeptis (including the Series B Preferred Stock of Coeptis on an as converted basis) entitled to vote on the Proposals, is required with respect to the Proposals.</w:t>
      </w:r>
    </w:p>
    <w:p>
      <w:pPr>
        <w:spacing w:after="0" w:line="175"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You are hereby notified that appraisal rights are available to you under Delaware law to Coeptis’ stockholders. Please see the section entitled “Appraisal Rights” beginning on page 133 of the accompanying proxy statement for a discussion of the availability of appraisal rights and the procedures required to be followed to assert appraisal rights in connection with the Business Combination.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behalf of the Board, I thank you for your support and we look forward to the successful consummation of the Business Combination.</w:t>
      </w:r>
    </w:p>
    <w:p>
      <w:pPr>
        <w:spacing w:after="0" w:line="22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David Mehalick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wp:posOffset>
            </wp:positionV>
            <wp:extent cx="28975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David Mehalick</w:t>
      </w:r>
    </w:p>
    <w:p>
      <w:pPr>
        <w:spacing w:after="0" w:line="2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Coeptis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3091815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3" w:name="page4"/>
    <w:bookmarkEnd w:id="3"/>
    <w:p>
      <w:pPr>
        <w:ind w:right="28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the accompanying proxy statement or determined that the accompanying proxy statement is accurate or complete. Any representation to the contrary is a criminal offense.</w:t>
      </w:r>
    </w:p>
    <w:p>
      <w:pPr>
        <w:spacing w:after="0" w:line="175"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is dated September 30, 2022, and is first being mailed to the stockholders of Coeptis Therapeutics, Inc. on or about October 5, 2022.</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105 Bradford Rd, Suite 420,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Wexford, Pennsylvania 15090</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SPECIAL MEETING OF COEPTIS STOCKHOLDERS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OCTOBER 26,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OF COEPTIS THERAPEUTICS, INC.:</w:t>
      </w:r>
    </w:p>
    <w:p>
      <w:pPr>
        <w:spacing w:after="0" w:line="225" w:lineRule="exact"/>
        <w:rPr>
          <w:sz w:val="20"/>
          <w:szCs w:val="20"/>
          <w:color w:val="auto"/>
        </w:rPr>
      </w:pPr>
    </w:p>
    <w:p>
      <w:pPr>
        <w:ind w:right="120" w:firstLine="432"/>
        <w:spacing w:after="0" w:line="259"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w:t>
      </w:r>
      <w:r>
        <w:rPr>
          <w:rFonts w:ascii="Times New Roman" w:cs="Times New Roman" w:eastAsia="Times New Roman" w:hAnsi="Times New Roman"/>
          <w:sz w:val="18"/>
          <w:szCs w:val="18"/>
          <w:b w:val="1"/>
          <w:bCs w:val="1"/>
          <w:color w:val="auto"/>
        </w:rPr>
        <w:t>Stockholders Meeting</w:t>
      </w:r>
      <w:r>
        <w:rPr>
          <w:rFonts w:ascii="Times New Roman" w:cs="Times New Roman" w:eastAsia="Times New Roman" w:hAnsi="Times New Roman"/>
          <w:sz w:val="18"/>
          <w:szCs w:val="18"/>
          <w:color w:val="auto"/>
        </w:rPr>
        <w:t>”) of Coeptis Therapeutics, Inc., a Delaware corporation (“</w:t>
      </w:r>
      <w:r>
        <w:rPr>
          <w:rFonts w:ascii="Times New Roman" w:cs="Times New Roman" w:eastAsia="Times New Roman" w:hAnsi="Times New Roman"/>
          <w:sz w:val="18"/>
          <w:szCs w:val="18"/>
          <w:b w:val="1"/>
          <w:bCs w:val="1"/>
          <w:color w:val="auto"/>
        </w:rPr>
        <w:t>Coeptis</w:t>
      </w:r>
      <w:r>
        <w:rPr>
          <w:rFonts w:ascii="Times New Roman" w:cs="Times New Roman" w:eastAsia="Times New Roman" w:hAnsi="Times New Roman"/>
          <w:sz w:val="18"/>
          <w:szCs w:val="18"/>
          <w:color w:val="auto"/>
        </w:rPr>
        <w:t>”), will be held at 10:00 a.m. Eastern Time, on October 26, 2022. The Stockholders Meeting will be a completely virtual meeting of stockholders, which will be conducted via live webcast. You will be able to attend the Stockholders Meeting online and vote during the Stockholders Meeting by visiting www.virtualshareholdermeeting.com/COEP2022SM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You are cordially invited to attend the Stockholders Meeting online, which will be held for the following purposes:</w:t>
      </w:r>
    </w:p>
    <w:p>
      <w:pPr>
        <w:spacing w:after="0" w:line="181" w:lineRule="exact"/>
        <w:rPr>
          <w:sz w:val="20"/>
          <w:szCs w:val="20"/>
          <w:color w:val="auto"/>
        </w:rPr>
      </w:pPr>
    </w:p>
    <w:p>
      <w:pPr>
        <w:ind w:left="880" w:hanging="440"/>
        <w:spacing w:after="0" w:line="272" w:lineRule="auto"/>
        <w:tabs>
          <w:tab w:leader="none" w:pos="8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The Business Combination Proposal </w:t>
      </w:r>
      <w:r>
        <w:rPr>
          <w:rFonts w:ascii="Times New Roman" w:cs="Times New Roman" w:eastAsia="Times New Roman" w:hAnsi="Times New Roman"/>
          <w:sz w:val="17"/>
          <w:szCs w:val="17"/>
          <w:color w:val="auto"/>
        </w:rPr>
        <w:t>— To consider and vote upon a proposal to approve the Agreement and Plan of Merger dated effective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April 18, 2022 (as amended or supplemented from time to time, the “</w:t>
      </w:r>
      <w:r>
        <w:rPr>
          <w:rFonts w:ascii="Times New Roman" w:cs="Times New Roman" w:eastAsia="Times New Roman" w:hAnsi="Times New Roman"/>
          <w:sz w:val="17"/>
          <w:szCs w:val="17"/>
          <w:b w:val="1"/>
          <w:bCs w:val="1"/>
          <w:color w:val="auto"/>
        </w:rPr>
        <w:t>Merger Agreement</w:t>
      </w:r>
      <w:r>
        <w:rPr>
          <w:rFonts w:ascii="Times New Roman" w:cs="Times New Roman" w:eastAsia="Times New Roman" w:hAnsi="Times New Roman"/>
          <w:sz w:val="17"/>
          <w:szCs w:val="17"/>
          <w:color w:val="auto"/>
        </w:rPr>
        <w:t>”) by and among Bull Horn Holdings Corp., (“</w:t>
      </w:r>
      <w:r>
        <w:rPr>
          <w:rFonts w:ascii="Times New Roman" w:cs="Times New Roman" w:eastAsia="Times New Roman" w:hAnsi="Times New Roman"/>
          <w:sz w:val="17"/>
          <w:szCs w:val="17"/>
          <w:b w:val="1"/>
          <w:bCs w:val="1"/>
          <w:color w:val="auto"/>
        </w:rPr>
        <w:t>Bull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Horn</w:t>
      </w:r>
      <w:r>
        <w:rPr>
          <w:rFonts w:ascii="Times New Roman" w:cs="Times New Roman" w:eastAsia="Times New Roman" w:hAnsi="Times New Roman"/>
          <w:sz w:val="17"/>
          <w:szCs w:val="17"/>
          <w:color w:val="auto"/>
        </w:rPr>
        <w:t>”), BH Merger Sub Inc., a Delaware corporation and a wholly-owned subsidiary of Bull Horn (“</w:t>
      </w:r>
      <w:r>
        <w:rPr>
          <w:rFonts w:ascii="Times New Roman" w:cs="Times New Roman" w:eastAsia="Times New Roman" w:hAnsi="Times New Roman"/>
          <w:sz w:val="17"/>
          <w:szCs w:val="17"/>
          <w:b w:val="1"/>
          <w:bCs w:val="1"/>
          <w:color w:val="auto"/>
        </w:rPr>
        <w:t>Merger Sub</w:t>
      </w:r>
      <w:r>
        <w:rPr>
          <w:rFonts w:ascii="Times New Roman" w:cs="Times New Roman" w:eastAsia="Times New Roman" w:hAnsi="Times New Roman"/>
          <w:sz w:val="17"/>
          <w:szCs w:val="17"/>
          <w:color w:val="auto"/>
        </w:rPr>
        <w:t>”), and Coeptis,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transactions contemplated by the Merger Agreement, including the receipt of the merger consideration thereunder (collectively, the “</w:t>
      </w:r>
      <w:r>
        <w:rPr>
          <w:rFonts w:ascii="Times New Roman" w:cs="Times New Roman" w:eastAsia="Times New Roman" w:hAnsi="Times New Roman"/>
          <w:sz w:val="17"/>
          <w:szCs w:val="17"/>
          <w:b w:val="1"/>
          <w:b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Combination</w:t>
      </w:r>
      <w:r>
        <w:rPr>
          <w:rFonts w:ascii="Times New Roman" w:cs="Times New Roman" w:eastAsia="Times New Roman" w:hAnsi="Times New Roman"/>
          <w:sz w:val="17"/>
          <w:szCs w:val="17"/>
          <w:color w:val="auto"/>
        </w:rPr>
        <w:t>”). Pursuant to the Merger Agreement, Merger Sub will merge with and into Coeptis, with Coeptis continuing as the surviving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entity of the Business Combination and becoming a wholly-owned subsidiary of Bull Horn as described in more detail in the attached proxy statement. Following the Business Combination, Coeptis Therapeutics, Inc. and Bull Horn (under its new name Coeptis Therapeutics Holdings, Inc.) may be collectively referred to as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We refer to this proposal as the “</w:t>
      </w:r>
      <w:r>
        <w:rPr>
          <w:rFonts w:ascii="Times New Roman" w:cs="Times New Roman" w:eastAsia="Times New Roman" w:hAnsi="Times New Roman"/>
          <w:sz w:val="17"/>
          <w:szCs w:val="17"/>
          <w:b w:val="1"/>
          <w:bCs w:val="1"/>
          <w:color w:val="auto"/>
        </w:rPr>
        <w:t>Business Combination Proposal</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left="880" w:right="160" w:hanging="440"/>
        <w:spacing w:after="0" w:line="261"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Adjournment Proposal — </w:t>
      </w:r>
      <w:r>
        <w:rPr>
          <w:rFonts w:ascii="Times New Roman" w:cs="Times New Roman" w:eastAsia="Times New Roman" w:hAnsi="Times New Roman"/>
          <w:sz w:val="18"/>
          <w:szCs w:val="18"/>
          <w:color w:val="auto"/>
        </w:rPr>
        <w:t>To consider and vote on a proposal to adjourn the special meeting to a later date or dates if necessary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to solicit additional proxies if there are insufficient votes to approve the Business Combination Proposal at the time of the special meeting. The Adjournment Proposal will not be submitted if the Business Combination Proposal is approved. We refer to this proposal as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and, together with the Business Combination Proposal,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These Proposals are described in the accompanying proxy statement, which we encourage you to read in its entirety before voting. Only holders of record of the voting securities of Coeptis at the close of business on September 16, 2022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notice of the Stockholders Meeting and to vote and have their votes counted at the Stockholders Meeting and any adjournments or postponements thereof.</w:t>
      </w:r>
    </w:p>
    <w:p>
      <w:pPr>
        <w:spacing w:after="0" w:line="172" w:lineRule="exact"/>
        <w:rPr>
          <w:sz w:val="20"/>
          <w:szCs w:val="20"/>
          <w:color w:val="auto"/>
        </w:rPr>
      </w:pPr>
    </w:p>
    <w:p>
      <w:pPr>
        <w:ind w:right="8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After careful consideration, Coeptis’ board of directors unanimously recommends that the stockholders vote “FOR” the Business Combination Proposal and “FOR” the Adjournment Proposal.</w:t>
      </w:r>
    </w:p>
    <w:p>
      <w:pPr>
        <w:spacing w:after="0" w:line="15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All stockholders of Coeptis are cordially invited to attend the Stockholders Meeting in person virtually. To ensure your representation at the Stockholders Meeting, however, you are urged to mark, sign and date the enclosed proxy card and return it as soon as possible in the pre-addressed postage paid envelope provided. If you are a stockholder of record of voting securities of Coeptis, you may also cast your vote in person virtually at the Stockholders Meeting. If your shares are held in an account at a brokerage firm or bank, or by a nominee, you must instruct your broker, bank or nominee on how to vote your shares or, if you wish to attend the Stockholders Meeting and vote in person virtually, obtain a proxy from your broker, bank or nominee.</w:t>
      </w:r>
    </w:p>
    <w:p>
      <w:pPr>
        <w:spacing w:after="0" w:line="183" w:lineRule="exact"/>
        <w:rPr>
          <w:sz w:val="20"/>
          <w:szCs w:val="20"/>
          <w:color w:val="auto"/>
        </w:rPr>
      </w:pPr>
    </w:p>
    <w:p>
      <w:pPr>
        <w:ind w:right="6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Stockholders Meeting, we urge you to read the accompanying proxy statement (and any documents incorporated into the accompanying proxy statement by reference) carefully. Please pay particular attention to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32 in the accompanying proxy statement.</w:t>
      </w:r>
    </w:p>
    <w:p>
      <w:pPr>
        <w:spacing w:after="0" w:line="171" w:lineRule="exact"/>
        <w:rPr>
          <w:sz w:val="20"/>
          <w:szCs w:val="20"/>
          <w:color w:val="auto"/>
        </w:rPr>
      </w:pPr>
    </w:p>
    <w:p>
      <w:pPr>
        <w:ind w:right="8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regardless of the number of shares you own. </w:t>
      </w:r>
      <w:r>
        <w:rPr>
          <w:rFonts w:ascii="Times New Roman" w:cs="Times New Roman" w:eastAsia="Times New Roman" w:hAnsi="Times New Roman"/>
          <w:sz w:val="18"/>
          <w:szCs w:val="18"/>
          <w:color w:val="auto"/>
        </w:rPr>
        <w:t>Whether you plan to attend the Stockholders Meeting or not, please 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 and date the enclosed proxy card and return it as soon as possible in the envelope provided. If your shares are held in “street name” or are in a margin or similar account, you should contact your broker to ensure that votes related to the shares you beneficially own are properly counted.</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Thank you for your participation. We look forward to your continued support.</w:t>
      </w:r>
    </w:p>
    <w:p>
      <w:pPr>
        <w:spacing w:after="0" w:line="2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David Mehalick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David Mehalick</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203" w:lineRule="exact"/>
        <w:rPr>
          <w:sz w:val="20"/>
          <w:szCs w:val="20"/>
          <w:color w:val="auto"/>
        </w:rPr>
      </w:pPr>
    </w:p>
    <w:p>
      <w:pPr>
        <w:ind w:right="820" w:firstLine="432"/>
        <w:spacing w:after="0" w:line="317" w:lineRule="auto"/>
        <w:rPr>
          <w:sz w:val="20"/>
          <w:szCs w:val="20"/>
          <w:color w:val="auto"/>
        </w:rPr>
      </w:pPr>
      <w:r>
        <w:rPr>
          <w:rFonts w:ascii="Times New Roman" w:cs="Times New Roman" w:eastAsia="Times New Roman" w:hAnsi="Times New Roman"/>
          <w:sz w:val="17"/>
          <w:szCs w:val="17"/>
          <w:b w:val="1"/>
          <w:bCs w:val="1"/>
          <w:color w:val="auto"/>
        </w:rPr>
        <w:t>IF NO SPECIFIC INSTRUCTIONS ARE GIVEN WITH REGARD TO THE MATTERS TO BE VOTED UPON, THE SHARES REPRESENTED BY A SIGNED PROXY CARD WILL BE VOTED “FOR” THE PROPOSALS LISTED ON THE PROXY CARD.</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6" w:right="379" w:bottom="461"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460" w:type="dxa"/>
            <w:vAlign w:val="bottom"/>
            <w:tcBorders>
              <w:top w:val="single" w:sz="8" w:color="CCEEFF"/>
            </w:tcBorders>
            <w:gridSpan w:val="41"/>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FREQUENTLY USED TERMS</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iii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SHARE CALCULATIONS AND OWNERSHIP PERCENTAGES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vi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660" w:type="dxa"/>
            <w:vAlign w:val="bottom"/>
            <w:tcBorders>
              <w:bottom w:val="single" w:sz="8" w:color="CCEEFF"/>
            </w:tcBorders>
            <w:gridSpan w:val="9"/>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vii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MARKET AND INDUSTRY DATA</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vii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SUMMARY OF THE PROXY STATEMENT</w:t>
            </w:r>
          </w:p>
        </w:tc>
        <w:tc>
          <w:tcPr>
            <w:tcW w:w="7120" w:type="dxa"/>
            <w:vAlign w:val="bottom"/>
            <w:tcBorders>
              <w:bottom w:val="single" w:sz="8" w:color="CCEEFF"/>
            </w:tcBorders>
            <w:gridSpan w:val="2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QUESTIONS AND ANSWERS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SELECTED HISTORICAL FINANCIAL DATA OF COEPTIS</w:t>
            </w:r>
          </w:p>
        </w:tc>
        <w:tc>
          <w:tcPr>
            <w:tcW w:w="5860" w:type="dxa"/>
            <w:vAlign w:val="bottom"/>
            <w:tcBorders>
              <w:bottom w:val="single" w:sz="8" w:color="CCEEFF"/>
            </w:tcBorders>
            <w:gridSpan w:val="1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SELECTED HISTORICAL FINANCIAL DATA OF BULL HORN</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580" w:type="dxa"/>
            <w:vAlign w:val="bottom"/>
            <w:tcBorders>
              <w:top w:val="single" w:sz="8" w:color="0000EE"/>
            </w:tcBorders>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COMPARATIVE PER SHARE INFORMATION</w:t>
            </w:r>
          </w:p>
        </w:tc>
        <w:tc>
          <w:tcPr>
            <w:tcW w:w="3880" w:type="dxa"/>
            <w:vAlign w:val="bottom"/>
            <w:tcBorders>
              <w:top w:val="single" w:sz="8" w:color="CCEEFF"/>
            </w:tcBorders>
            <w:gridSpan w:val="7"/>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200" w:type="dxa"/>
            <w:vAlign w:val="bottom"/>
            <w:tcBorders>
              <w:bottom w:val="single" w:sz="8" w:color="CCEEFF"/>
            </w:tcBorders>
            <w:gridSpan w:val="39"/>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STOCKHOLDERS MEETING</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1: THE BUSINESS COMBINATION PROPOSAL</w:t>
            </w:r>
          </w:p>
        </w:tc>
        <w:tc>
          <w:tcPr>
            <w:tcW w:w="5780" w:type="dxa"/>
            <w:vAlign w:val="bottom"/>
            <w:tcBorders>
              <w:bottom w:val="single" w:sz="8" w:color="CCEEFF"/>
            </w:tcBorders>
            <w:gridSpan w:val="1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PROPOSAL 2: THE ADJOURNMENT PROPOSAL</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6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COEPTIS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OF COEPTIS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OFFICERS AND DIRECTORS OF COEPTIS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2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 OF COEPTIS</w:t>
            </w:r>
          </w:p>
        </w:tc>
        <w:tc>
          <w:tcPr>
            <w:tcW w:w="6040" w:type="dxa"/>
            <w:vAlign w:val="bottom"/>
            <w:tcBorders>
              <w:top w:val="single" w:sz="8" w:color="CCEEFF"/>
            </w:tcBorders>
            <w:gridSpan w:val="16"/>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PRINCIPAL STOCKHOLDERS OF COEPTIS</w:t>
            </w:r>
          </w:p>
        </w:tc>
        <w:tc>
          <w:tcPr>
            <w:tcW w:w="7020" w:type="dxa"/>
            <w:vAlign w:val="bottom"/>
            <w:tcBorders>
              <w:bottom w:val="single" w:sz="8" w:color="CCEEFF"/>
            </w:tcBorders>
            <w:gridSpan w:val="2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BULL HORN</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6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OFFICERS, EXECUTIVE COMPENSATION AND CORPORATE GOVERNANCE OF BULL HORN</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OF BULL HORN</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Borders>
              <w:bottom w:val="single" w:sz="8" w:color="0000EE"/>
            </w:tcBorders>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 OF THE COMPANY FOLLOWING THE BUSINESS COMBINATION</w:t>
            </w:r>
          </w:p>
        </w:tc>
        <w:tc>
          <w:tcPr>
            <w:tcW w:w="3840" w:type="dxa"/>
            <w:vAlign w:val="bottom"/>
            <w:tcBorders>
              <w:bottom w:val="single" w:sz="8" w:color="CCEEFF"/>
            </w:tcBorders>
            <w:gridSpan w:val="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COEPTIS’, BULL HORN’S, AND THE COMPANY’S SECURITIES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PRICE AND DIVIDENDS OF SECURITIES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2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BENEFICIAL OWNERSHIP OF SECURITIES</w:t>
            </w:r>
          </w:p>
        </w:tc>
        <w:tc>
          <w:tcPr>
            <w:tcW w:w="6340" w:type="dxa"/>
            <w:vAlign w:val="bottom"/>
            <w:tcBorders>
              <w:top w:val="single" w:sz="8" w:color="CCEEFF"/>
            </w:tcBorders>
            <w:gridSpan w:val="17"/>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6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SECURITIES ACT RESTRICTIONS ON RESALE OF THE COMPANY’S SECURITIES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6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APPRAISAL RIGHTS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OTHER STOCKHOLDER COMMUNICATIONS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680" w:type="dxa"/>
            <w:vAlign w:val="bottom"/>
            <w:tcBorders>
              <w:bottom w:val="single" w:sz="8" w:color="CCEEFF"/>
            </w:tcBorders>
            <w:gridSpan w:val="40"/>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DELIVERY OF DOCUMENTS TO STOCKHOLDER</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TRANSFER AGENT AND REGISTRAR</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SUBMISSION OF PROPOSALS</w:t>
            </w:r>
          </w:p>
        </w:tc>
        <w:tc>
          <w:tcPr>
            <w:tcW w:w="7400" w:type="dxa"/>
            <w:vAlign w:val="bottom"/>
            <w:tcBorders>
              <w:top w:val="single" w:sz="8" w:color="CCEEFF"/>
            </w:tcBorders>
            <w:gridSpan w:val="29"/>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FUTURE STOCKHOLDER PROPOSALS</w:t>
            </w:r>
          </w:p>
        </w:tc>
        <w:tc>
          <w:tcPr>
            <w:tcW w:w="7320" w:type="dxa"/>
            <w:vAlign w:val="bottom"/>
            <w:tcBorders>
              <w:bottom w:val="single" w:sz="8" w:color="CCEEFF"/>
            </w:tcBorders>
            <w:gridSpan w:val="2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6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6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EE"/>
              </w:rPr>
              <w:t>ANNEX A — Agreement and Plan of Merger</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ANNEX B — Amended and Restated Certificate of Incorporation of Coeptis Therapeutics Holdings, Inc.</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B-1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580" w:type="dxa"/>
            <w:vAlign w:val="bottom"/>
            <w:tcBorders>
              <w:top w:val="single" w:sz="8" w:color="0000EE"/>
            </w:tcBorders>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ANNEX C — Amended and Restated Bylaws of Coeptis Therapeutics Holdings, Inc.</w:t>
            </w:r>
          </w:p>
        </w:tc>
        <w:tc>
          <w:tcPr>
            <w:tcW w:w="2880" w:type="dxa"/>
            <w:vAlign w:val="bottom"/>
            <w:tcBorders>
              <w:top w:val="single" w:sz="8" w:color="CCEEFF"/>
            </w:tcBorders>
            <w:gridSpan w:val="4"/>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C-1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ANNEX D — Coeptis Therapeutics Holdings, Inc. 2022 Equity Incentive Plan</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D-1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720" w:type="dxa"/>
            <w:vAlign w:val="bottom"/>
            <w:tcBorders>
              <w:top w:val="single" w:sz="8" w:color="0000EE"/>
            </w:tcBorders>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ANNEX E — Appraisal Rights</w:t>
            </w:r>
          </w:p>
        </w:tc>
        <w:tc>
          <w:tcPr>
            <w:tcW w:w="4740" w:type="dxa"/>
            <w:vAlign w:val="bottom"/>
            <w:tcBorders>
              <w:top w:val="single" w:sz="8" w:color="CCEEFF"/>
            </w:tcBorders>
            <w:gridSpan w:val="10"/>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E-1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6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ANNEX F — Form of Proxy Card for Stockholders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22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“we,” “us,” “our,” and “Coeptis” refers to Coeptis Therapeutics, Inc., a Delaware corporation.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221"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means the proposal to be considered at the Stockholders Meeting to require the chairman of the meeting to adjourn the Stockholders Meeting to a later date or dates, if necessary to permit further solicitation and vote of proxies if it is determined by Coeptis that more time is necessary or appropriate to approve one or more Proposals at the Stockholders Meeting.</w:t>
      </w:r>
    </w:p>
    <w:p>
      <w:pPr>
        <w:spacing w:after="0" w:line="171" w:lineRule="exact"/>
        <w:rPr>
          <w:sz w:val="20"/>
          <w:szCs w:val="20"/>
          <w:color w:val="auto"/>
        </w:rPr>
      </w:pPr>
    </w:p>
    <w:p>
      <w:pPr>
        <w:ind w:right="8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Certificate of Incorporation</w:t>
      </w:r>
      <w:r>
        <w:rPr>
          <w:rFonts w:ascii="Times New Roman" w:cs="Times New Roman" w:eastAsia="Times New Roman" w:hAnsi="Times New Roman"/>
          <w:sz w:val="18"/>
          <w:szCs w:val="18"/>
          <w:color w:val="auto"/>
        </w:rPr>
        <w:t xml:space="preserve">” means the proposed certificate of incorporation of the Company to be in effect following the Business Combination, a copy of which is attached to this proxy statement as </w:t>
      </w:r>
      <w:r>
        <w:rPr>
          <w:rFonts w:ascii="Times New Roman" w:cs="Times New Roman" w:eastAsia="Times New Roman" w:hAnsi="Times New Roman"/>
          <w:sz w:val="18"/>
          <w:szCs w:val="18"/>
          <w:i w:val="1"/>
          <w:iCs w:val="1"/>
          <w:u w:val="single" w:color="auto"/>
          <w:color w:val="0000EE"/>
        </w:rPr>
        <w:t>Annex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0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Bull Horn</w:t>
      </w:r>
      <w:r>
        <w:rPr>
          <w:rFonts w:ascii="Times New Roman" w:cs="Times New Roman" w:eastAsia="Times New Roman" w:hAnsi="Times New Roman"/>
          <w:sz w:val="18"/>
          <w:szCs w:val="18"/>
          <w:color w:val="auto"/>
        </w:rPr>
        <w:t>” means Bull Horn Holdings Corp. (which prior to the Domestication is a business company incorporated under the laws of the British Virgin Islands and after the Domestication will be a corporation incorporated under the laws of the State of Delaware).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Bull Horn Board</w:t>
      </w:r>
      <w:r>
        <w:rPr>
          <w:rFonts w:ascii="Times New Roman" w:cs="Times New Roman" w:eastAsia="Times New Roman" w:hAnsi="Times New Roman"/>
          <w:sz w:val="18"/>
          <w:szCs w:val="18"/>
          <w:color w:val="auto"/>
        </w:rPr>
        <w:t>” means the board of directors of Bull Horn.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Bull Horn Shares</w:t>
      </w:r>
      <w:r>
        <w:rPr>
          <w:rFonts w:ascii="Times New Roman" w:cs="Times New Roman" w:eastAsia="Times New Roman" w:hAnsi="Times New Roman"/>
          <w:sz w:val="18"/>
          <w:szCs w:val="18"/>
          <w:color w:val="auto"/>
        </w:rPr>
        <w:t>” means the ordinary shares, no par value, of Bull Horn prior to the Domestication.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transactions contemplated by the Merger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means the proposal to be considered at the Stockholders Meeting to approve the Business Combination.</w:t>
      </w:r>
    </w:p>
    <w:p>
      <w:pPr>
        <w:spacing w:after="0" w:line="225" w:lineRule="exact"/>
        <w:rPr>
          <w:sz w:val="20"/>
          <w:szCs w:val="20"/>
          <w:color w:val="auto"/>
        </w:rPr>
      </w:pPr>
    </w:p>
    <w:p>
      <w:pPr>
        <w:ind w:right="4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xml:space="preserve">” mean the proposed bylaws of the Company to be in effect following the Business Combination, a form of which is attached to this proxy statement as </w:t>
      </w:r>
      <w:r>
        <w:rPr>
          <w:rFonts w:ascii="Times New Roman" w:cs="Times New Roman" w:eastAsia="Times New Roman" w:hAnsi="Times New Roman"/>
          <w:sz w:val="18"/>
          <w:szCs w:val="18"/>
          <w:i w:val="1"/>
          <w:iCs w:val="1"/>
          <w:u w:val="single" w:color="auto"/>
          <w:color w:val="0000EE"/>
        </w:rPr>
        <w:t>Annex 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Bull Horn as a Delaware corporation by way of continuation out of the British Virgin Islands following the Business Combination. Following the completion of the Business Combination, Bull Horn will change its corporate name to “Coeptis Therapeutics Holdings, Inc.”</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Coeptis</w:t>
      </w:r>
      <w:r>
        <w:rPr>
          <w:rFonts w:ascii="Times New Roman" w:cs="Times New Roman" w:eastAsia="Times New Roman" w:hAnsi="Times New Roman"/>
          <w:sz w:val="18"/>
          <w:szCs w:val="18"/>
          <w:color w:val="auto"/>
        </w:rPr>
        <w:t>” means Coeptis Therapeutics, Inc., a Delaware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Coeptis Board</w:t>
      </w:r>
      <w:r>
        <w:rPr>
          <w:rFonts w:ascii="Times New Roman" w:cs="Times New Roman" w:eastAsia="Times New Roman" w:hAnsi="Times New Roman"/>
          <w:sz w:val="18"/>
          <w:szCs w:val="18"/>
          <w:color w:val="auto"/>
        </w:rPr>
        <w:t>” means the board of directors of Coeptis.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Coeptis common stock</w:t>
      </w:r>
      <w:r>
        <w:rPr>
          <w:rFonts w:ascii="Times New Roman" w:cs="Times New Roman" w:eastAsia="Times New Roman" w:hAnsi="Times New Roman"/>
          <w:sz w:val="18"/>
          <w:szCs w:val="18"/>
          <w:color w:val="auto"/>
        </w:rPr>
        <w:t>” means the common stock, par value $0.0001 per share, of Coeptis.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Coeptis warrants</w:t>
      </w:r>
      <w:r>
        <w:rPr>
          <w:rFonts w:ascii="Times New Roman" w:cs="Times New Roman" w:eastAsia="Times New Roman" w:hAnsi="Times New Roman"/>
          <w:sz w:val="18"/>
          <w:szCs w:val="18"/>
          <w:color w:val="auto"/>
        </w:rPr>
        <w:t>” means Coeptis warrants to acquire up to 4,642,500 shares of Coeptis common stock at an average exercise price of $2.67 per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Coeptis preferred stock</w:t>
      </w:r>
      <w:r>
        <w:rPr>
          <w:rFonts w:ascii="Times New Roman" w:cs="Times New Roman" w:eastAsia="Times New Roman" w:hAnsi="Times New Roman"/>
          <w:sz w:val="18"/>
          <w:szCs w:val="18"/>
          <w:color w:val="auto"/>
        </w:rPr>
        <w:t>” means the preferred stock, par value $0.0001 per share, of Coeptis.</w:t>
      </w:r>
    </w:p>
    <w:p>
      <w:pPr>
        <w:spacing w:after="0" w:line="225" w:lineRule="exact"/>
        <w:rPr>
          <w:sz w:val="20"/>
          <w:szCs w:val="20"/>
          <w:color w:val="auto"/>
        </w:rPr>
      </w:pPr>
    </w:p>
    <w:p>
      <w:pPr>
        <w:ind w:right="20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means the shares of common stock, par value $0.0001 per share, of Bull Horn upon consummation of the Business Combination.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means the board of directors of the Company subsequent to the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92" w:right="49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Delaware General Corporation Law, as amended.</w:t>
      </w:r>
    </w:p>
    <w:p>
      <w:pPr>
        <w:spacing w:after="0" w:line="225" w:lineRule="exact"/>
        <w:rPr>
          <w:sz w:val="20"/>
          <w:szCs w:val="20"/>
          <w:color w:val="auto"/>
        </w:rPr>
      </w:pPr>
    </w:p>
    <w:p>
      <w:pPr>
        <w:ind w:right="120" w:firstLine="432"/>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means the domestication of Bull Horn by way of its continuation out of the British Virgin Islands into Delaware to become a Delaware corporation pursuant to Section 184 of the Companies Act and the applicable provisions of the DGCL, respectively, with the ordinary shares of Bull Horn becoming shares of common stock of the Delaware corporation under the applicable provisions of the Companies Act and the DGCL; the term includes all matters and necessary or ancillary changes in order to effect such Domestication.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means The Depository Trust Company’s deposit/withdrawal at custodian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the 1,875,000 currently outstanding ordinary shares of Bull Horn owned by the sponsor.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Imperial</w:t>
      </w:r>
      <w:r>
        <w:rPr>
          <w:rFonts w:ascii="Times New Roman" w:cs="Times New Roman" w:eastAsia="Times New Roman" w:hAnsi="Times New Roman"/>
          <w:sz w:val="18"/>
          <w:szCs w:val="18"/>
          <w:color w:val="auto"/>
        </w:rPr>
        <w:t>” means Imperial Capital, LLC, the representative of the underwriters in the IPO.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 Letter Agreement</w:t>
      </w:r>
      <w:r>
        <w:rPr>
          <w:rFonts w:ascii="Times New Roman" w:cs="Times New Roman" w:eastAsia="Times New Roman" w:hAnsi="Times New Roman"/>
          <w:sz w:val="18"/>
          <w:szCs w:val="18"/>
          <w:color w:val="auto"/>
        </w:rPr>
        <w:t>” means Bull Horn’s letter agreement with the sponsor, dated October 29, 2020.</w:t>
      </w:r>
    </w:p>
    <w:p>
      <w:pPr>
        <w:spacing w:after="0" w:line="225" w:lineRule="exact"/>
        <w:rPr>
          <w:sz w:val="20"/>
          <w:szCs w:val="20"/>
          <w:color w:val="auto"/>
        </w:rPr>
      </w:pPr>
    </w:p>
    <w:p>
      <w:pPr>
        <w:ind w:right="22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initial public offering</w:t>
      </w:r>
      <w:r>
        <w:rPr>
          <w:rFonts w:ascii="Times New Roman" w:cs="Times New Roman" w:eastAsia="Times New Roman" w:hAnsi="Times New Roman"/>
          <w:sz w:val="18"/>
          <w:szCs w:val="18"/>
          <w:color w:val="auto"/>
        </w:rPr>
        <w:t>” means Bull Horn’s initial public offering of its Units pursuant to a registration statement on Form S-1 declared effective by the SEC on October 29, 2020 (File No. 333-248940).</w:t>
      </w:r>
    </w:p>
    <w:p>
      <w:pPr>
        <w:spacing w:after="0" w:line="155"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as used in the Merger Agreement, means with respect to any specified person, any fact, event, occurrence, change or effect that has had, or would reasonably be expected to have, individually or in the aggregate, a material adverse effect upon (a) the business, assets, liabilities, results of operations or condition (financial or otherwise) of such person and its subsidiaries, taken as a whole or (b) the ability of such person or any of its subsidiaries on a timely basis to consummate the transactions contemplated by the Merger Agreement or the ancillary documents to which it is a party or bound or to perform its obligations thereunder, in each case subject to certain customary exceptions.</w:t>
      </w:r>
    </w:p>
    <w:p>
      <w:pPr>
        <w:spacing w:after="0" w:line="179" w:lineRule="exact"/>
        <w:rPr>
          <w:sz w:val="20"/>
          <w:szCs w:val="20"/>
          <w:color w:val="auto"/>
        </w:rPr>
      </w:pPr>
    </w:p>
    <w:p>
      <w:pPr>
        <w:ind w:right="8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means the statutory merger of Merger Sub with and into Coeptis pursuant to the terms of the Merger Agreement and under the applicable provisions of the DGCL, with Coeptis continuing as the surviving entity and becoming a subsidiary of the Company.</w:t>
      </w:r>
    </w:p>
    <w:p>
      <w:pPr>
        <w:spacing w:after="0" w:line="155"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xml:space="preserve">” means the Agreement and Plan of Merger, dated effective as of April 18, 2022 by and among Bull Horn, Merger Sub and Coeptis Therapeutics, Inc., as it may be amended and supplemented from time to time. A copy of the Merger Agreement is attached to this proxy statement as </w:t>
      </w:r>
      <w:r>
        <w:rPr>
          <w:rFonts w:ascii="Times New Roman" w:cs="Times New Roman" w:eastAsia="Times New Roman" w:hAnsi="Times New Roman"/>
          <w:sz w:val="18"/>
          <w:szCs w:val="18"/>
          <w:i w:val="1"/>
          <w:iCs w:val="1"/>
          <w:u w:val="single" w:color="auto"/>
          <w:color w:val="0000EE"/>
        </w:rPr>
        <w:t>Annex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BH Merger Sub Inc., a Delaware corporation and wholly-owned subsidiary of Bull Horn.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Capital Market.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means November 3, 2022, pursuant to the terms of the Merger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 means, collectively, (i) the Business Combination Proposal and (ii) the Adjournment Proposal, if presented.</w:t>
      </w:r>
    </w:p>
    <w:p>
      <w:pPr>
        <w:spacing w:after="0" w:line="225" w:lineRule="exact"/>
        <w:rPr>
          <w:sz w:val="20"/>
          <w:szCs w:val="20"/>
          <w:color w:val="auto"/>
        </w:rPr>
      </w:pPr>
    </w:p>
    <w:p>
      <w:pPr>
        <w:ind w:right="26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shareholders</w:t>
      </w:r>
      <w:r>
        <w:rPr>
          <w:rFonts w:ascii="Times New Roman" w:cs="Times New Roman" w:eastAsia="Times New Roman" w:hAnsi="Times New Roman"/>
          <w:sz w:val="18"/>
          <w:szCs w:val="18"/>
          <w:color w:val="auto"/>
        </w:rPr>
        <w:t>” means the holders of Bull Horn’s ordinary shares that were sold in the IPO (whether they were purchased in the IPO or thereafter in the open market).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means Bull Horn’s ordinary shares sold in the IPO (whether they were purchased in the IPO or thereafter in the open market).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Bull Horn’s warrants sold in the IPO (whether they were purchased in the IPO or thereafter in the open market).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Bull Horn Holdings Sponsor LLC, a Delaware limited liability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September 16, 2022.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Stockholders Meeting</w:t>
      </w:r>
      <w:r>
        <w:rPr>
          <w:rFonts w:ascii="Times New Roman" w:cs="Times New Roman" w:eastAsia="Times New Roman" w:hAnsi="Times New Roman"/>
          <w:sz w:val="18"/>
          <w:szCs w:val="18"/>
          <w:color w:val="auto"/>
        </w:rPr>
        <w:t>” means the special meeting of Coeptis’ stockholders, to be held at 10:00 a.m. Eastern Time on October 26, 2022, and any adjournments or postponements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 the Merger and the other transactions contemplated by the Merger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ind w:right="24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means the units sold in the IPO (including pursuant to the overallotment option) consisting of one ordinary share of Bull Horn and one warrant.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Vantage Point</w:t>
      </w:r>
      <w:r>
        <w:rPr>
          <w:rFonts w:ascii="Times New Roman" w:cs="Times New Roman" w:eastAsia="Times New Roman" w:hAnsi="Times New Roman"/>
          <w:sz w:val="18"/>
          <w:szCs w:val="18"/>
          <w:color w:val="auto"/>
        </w:rPr>
        <w:t>” means Vantage Point Advisors, Inc., an independent business valuation firm.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792" w:right="59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 CALCULATIONS AND OWNERSHIP PERCENTAGES</w:t>
      </w:r>
    </w:p>
    <w:p>
      <w:pPr>
        <w:spacing w:after="0" w:line="227" w:lineRule="exact"/>
        <w:rPr>
          <w:sz w:val="20"/>
          <w:szCs w:val="20"/>
          <w:color w:val="auto"/>
        </w:rPr>
      </w:pPr>
    </w:p>
    <w:p>
      <w:pPr>
        <w:jc w:val="both"/>
        <w:ind w:right="120" w:firstLine="432"/>
        <w:spacing w:after="0" w:line="261" w:lineRule="auto"/>
        <w:rPr>
          <w:sz w:val="20"/>
          <w:szCs w:val="20"/>
          <w:color w:val="auto"/>
        </w:rPr>
      </w:pPr>
      <w:r>
        <w:rPr>
          <w:rFonts w:ascii="Times New Roman" w:cs="Times New Roman" w:eastAsia="Times New Roman" w:hAnsi="Times New Roman"/>
          <w:sz w:val="18"/>
          <w:szCs w:val="18"/>
          <w:color w:val="auto"/>
        </w:rPr>
        <w:t xml:space="preserve">Unless otherwise specified (including in the sections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of Securities”</w:t>
      </w:r>
      <w:r>
        <w:rPr>
          <w:rFonts w:ascii="Times New Roman" w:cs="Times New Roman" w:eastAsia="Times New Roman" w:hAnsi="Times New Roman"/>
          <w:sz w:val="18"/>
          <w:szCs w:val="18"/>
          <w:color w:val="auto"/>
        </w:rPr>
        <w:t>), the share calculations and ownership percentages set forth in this proxy statement with respect to the Company’s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Business Combination are for illustrative purposes only and assume the following (certain capitalized terms below are defined elsewhere in this proxy statement):</w:t>
      </w:r>
    </w:p>
    <w:p>
      <w:pPr>
        <w:spacing w:after="0" w:line="182" w:lineRule="exact"/>
        <w:rPr>
          <w:sz w:val="20"/>
          <w:szCs w:val="20"/>
          <w:color w:val="auto"/>
        </w:rPr>
      </w:pPr>
    </w:p>
    <w:p>
      <w:pPr>
        <w:ind w:left="880" w:right="160" w:hanging="440"/>
        <w:spacing w:after="0" w:line="261"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public shareholders of Bull Horn exercise their redemption rights in connection with the Closing of the Business Combination, and the balance of the trust account as of the Closing is approximately $33.1 million. Please see the section entitled </w:t>
      </w:r>
      <w:r>
        <w:rPr>
          <w:rFonts w:ascii="Times New Roman" w:cs="Times New Roman" w:eastAsia="Times New Roman" w:hAnsi="Times New Roman"/>
          <w:sz w:val="18"/>
          <w:szCs w:val="18"/>
          <w:i w:val="1"/>
          <w:iCs w:val="1"/>
          <w:color w:val="auto"/>
        </w:rPr>
        <w:t>“Questions and Answers — 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What happens if a substantial number of public shareholders of Bull Horn vote in favor of the Merger Proposal and exercise their redemption rights?”</w:t>
      </w:r>
    </w:p>
    <w:p>
      <w:pPr>
        <w:spacing w:after="0" w:line="179" w:lineRule="exact"/>
        <w:rPr>
          <w:rFonts w:ascii="Times New Roman" w:cs="Times New Roman" w:eastAsia="Times New Roman" w:hAnsi="Times New Roman"/>
          <w:sz w:val="18"/>
          <w:szCs w:val="18"/>
          <w:color w:val="auto"/>
        </w:rPr>
      </w:pPr>
    </w:p>
    <w:p>
      <w:pPr>
        <w:ind w:left="880" w:hanging="440"/>
        <w:spacing w:after="0" w:line="261"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 Bull Horn warrant holders exercise any of the Bull Horn warrants (including 7,500,000 Public Warrants and 3,750,000 Private Placement Warrants) that will remain outstanding following the Business Combination and (ii) holders of Coeptis warrants exercise any of the Coeptis warrants (assumed to be exercisable following the Business Combination to acquire 1,552,676 shares of Company Common Stock) and they will remain outstanding following the Business Combination.</w:t>
      </w:r>
    </w:p>
    <w:p>
      <w:pPr>
        <w:spacing w:after="0" w:line="179"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post-Merger shares of Company Common Stock issued to the Coeptis stockholders will be approximately 17,123,288.</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post-Merger shares of Company Common Stock retained by the Bull Horn shareholders will be 5,116,414.</w:t>
      </w:r>
    </w:p>
    <w:p>
      <w:pPr>
        <w:spacing w:after="0" w:line="225"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will be approximately $10.22 per share at the closing of the Business Combination, assuming Bull Horn utilizes a full six-month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Information contained in this proxy statement concerning the market and the industry in which Coeptis competes, including its market position, general expectations of market opportunity and market size, is based on information from various third-party sources, on assumptions made by Coeptis based on such sources and Coeptis’ knowledge of the markets for its services and solutions. Any estimates provided 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Notwithstanding the foregoing, we are liable for the information provided in this proxy statement. The industry in which Coeptis operates is subject to a high degree of uncertainty and risk. As a result, the estimates and market and industry information provided in this proxy statement are subject to change based on various factors, including those described in the section entitled “</w:t>
      </w:r>
      <w:r>
        <w:rPr>
          <w:rFonts w:ascii="Times New Roman" w:cs="Times New Roman" w:eastAsia="Times New Roman" w:hAnsi="Times New Roman"/>
          <w:sz w:val="18"/>
          <w:szCs w:val="18"/>
          <w:i w:val="1"/>
          <w:iCs w:val="1"/>
          <w:color w:val="auto"/>
        </w:rPr>
        <w:t>Risk Factors — Risks Related to Coeptis’ Business and Industry</w:t>
      </w:r>
      <w:r>
        <w:rPr>
          <w:rFonts w:ascii="Times New Roman" w:cs="Times New Roman" w:eastAsia="Times New Roman" w:hAnsi="Times New Roman"/>
          <w:sz w:val="18"/>
          <w:szCs w:val="18"/>
          <w:color w:val="auto"/>
        </w:rPr>
        <w:t>” and elsewhere in this proxy statement.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This proxy statement contains forward-looking statements. These forward-looking statements relate to expectations for future financial performance, business strategies or expectations for our business, and the timing and ability for Coeptis and Bull Horn to complete the Business Combination. Specifically, forward-looking statements may include statements relating to:</w:t>
      </w:r>
    </w:p>
    <w:p>
      <w:pPr>
        <w:spacing w:after="0" w:line="176" w:lineRule="exact"/>
        <w:rPr>
          <w:sz w:val="20"/>
          <w:szCs w:val="20"/>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the Business Combination;</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financial performance of the Company following the Business Combination;</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expected benefits from and ability to execute on expansion plans and opportunities; and</w:t>
      </w:r>
    </w:p>
    <w:p>
      <w:pPr>
        <w:spacing w:after="0" w:line="225" w:lineRule="exact"/>
        <w:rPr>
          <w:rFonts w:ascii="Times New Roman" w:cs="Times New Roman" w:eastAsia="Times New Roman" w:hAnsi="Times New Roman"/>
          <w:sz w:val="18"/>
          <w:szCs w:val="18"/>
          <w:color w:val="auto"/>
        </w:rPr>
      </w:pPr>
    </w:p>
    <w:p>
      <w:pPr>
        <w:ind w:left="880" w:right="20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“target” or similar expressions.</w:t>
      </w:r>
    </w:p>
    <w:p>
      <w:pPr>
        <w:spacing w:after="0" w:line="162" w:lineRule="exact"/>
        <w:rPr>
          <w:sz w:val="20"/>
          <w:szCs w:val="20"/>
          <w:color w:val="auto"/>
        </w:rPr>
      </w:pPr>
    </w:p>
    <w:p>
      <w:pPr>
        <w:ind w:firstLine="432"/>
        <w:spacing w:after="0" w:line="274" w:lineRule="auto"/>
        <w:rPr>
          <w:sz w:val="20"/>
          <w:szCs w:val="20"/>
          <w:color w:val="auto"/>
        </w:rPr>
      </w:pPr>
      <w:r>
        <w:rPr>
          <w:rFonts w:ascii="Times New Roman" w:cs="Times New Roman" w:eastAsia="Times New Roman" w:hAnsi="Times New Roman"/>
          <w:sz w:val="17"/>
          <w:szCs w:val="17"/>
          <w:color w:val="auto"/>
        </w:rPr>
        <w:t>These forward-looking statements are based on information available as of the date of this proxy statement and Bull Horn and Coeptis managements’ current expectations, forecasts and assumptions, and involve a number of judgments, known and unknown risks and uncertainties and other factors, many of which are outside the control of Bull Horn, Coeptis and their respective directors, officers and affiliates. Accordingly, forward-looking statements should not be relied upon as representing Coeptis’ views as of any subsequent date. Coeptis does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173"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in deciding how your vote should be cast or in voting your shares or warrants on the Proposals.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76" w:lineRule="exact"/>
        <w:rPr>
          <w:sz w:val="20"/>
          <w:szCs w:val="20"/>
          <w:color w:val="auto"/>
        </w:rPr>
      </w:pPr>
    </w:p>
    <w:p>
      <w:pPr>
        <w:ind w:left="880" w:right="32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delay the Business Combination or give rise to the termination of the Merger Agreement;</w:t>
      </w:r>
    </w:p>
    <w:p>
      <w:pPr>
        <w:spacing w:after="0" w:line="161" w:lineRule="exact"/>
        <w:rPr>
          <w:rFonts w:ascii="Times New Roman" w:cs="Times New Roman" w:eastAsia="Times New Roman" w:hAnsi="Times New Roman"/>
          <w:sz w:val="18"/>
          <w:szCs w:val="18"/>
          <w:color w:val="auto"/>
        </w:rPr>
      </w:pPr>
    </w:p>
    <w:p>
      <w:pPr>
        <w:ind w:left="880" w:right="26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Coeptis or Bull Horn following announcement of the proposed Business Combination and transactions contemplated thereby;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 w:name="page11"/>
    <w:bookmarkEnd w:id="10"/>
    <w:p>
      <w:pPr>
        <w:ind w:left="440" w:right="140" w:hanging="440"/>
        <w:spacing w:after="0" w:line="282"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Business Combination, including due to the failure to obtain approval of the Bull Horn shareholders or otherwise retain sufficient cash in the trust account or the failure to meet other conditions to closing in the Merger Agreement;</w:t>
      </w:r>
    </w:p>
    <w:p>
      <w:pPr>
        <w:spacing w:after="0" w:line="161"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consummate the Business Combination due to the uncertainty resulting from the recent COVID-19 pandemic;</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the listing of the securities of the Company on Nasdaq following the Business Combination;</w:t>
      </w:r>
    </w:p>
    <w:p>
      <w:pPr>
        <w:spacing w:after="0" w:line="225" w:lineRule="exact"/>
        <w:rPr>
          <w:rFonts w:ascii="Times New Roman" w:cs="Times New Roman" w:eastAsia="Times New Roman" w:hAnsi="Times New Roman"/>
          <w:sz w:val="18"/>
          <w:szCs w:val="18"/>
          <w:color w:val="auto"/>
        </w:rPr>
      </w:pPr>
    </w:p>
    <w:p>
      <w:pPr>
        <w:ind w:left="440" w:right="140" w:hanging="440"/>
        <w:spacing w:after="0" w:line="282"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competition, and the ability of the Company to grow and manage growth profitably;</w:t>
      </w:r>
    </w:p>
    <w:p>
      <w:pPr>
        <w:spacing w:after="0" w:line="161"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Business Combination;</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Coeptis operates;</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Bull Horn or Coeptis may be adversely affected by other economic, business, and/or competitive factors;</w:t>
      </w:r>
    </w:p>
    <w:p>
      <w:pPr>
        <w:spacing w:after="0" w:line="225" w:lineRule="exact"/>
        <w:rPr>
          <w:rFonts w:ascii="Times New Roman" w:cs="Times New Roman" w:eastAsia="Times New Roman" w:hAnsi="Times New Roman"/>
          <w:sz w:val="18"/>
          <w:szCs w:val="18"/>
          <w:color w:val="auto"/>
        </w:rPr>
      </w:pPr>
    </w:p>
    <w:p>
      <w:pPr>
        <w:ind w:left="440" w:right="160" w:hanging="440"/>
        <w:spacing w:after="0" w:line="282"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Combination disrupts current plans and operations of Coeptis as a result of the announcement and consummation of the Business Combination;</w:t>
      </w:r>
    </w:p>
    <w:p>
      <w:pPr>
        <w:spacing w:after="0" w:line="161"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Coeptis’ growth strategies, including identifying and executing acquisitions;</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complying with current laws and regulations and any changes in applicable laws or regulations;</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geographical actions, including war and terrorism;</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anticipated growth, or we may not grow at all;</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maintain the third-party relationships that are necessary to further our business plans;</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necessary funding in order to continue our operations as planned, either at all or on favorable terms;</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protecting and defending against intellectual property claims;</w:t>
      </w:r>
    </w:p>
    <w:p>
      <w:pPr>
        <w:spacing w:after="0" w:line="225" w:lineRule="exact"/>
        <w:rPr>
          <w:rFonts w:ascii="Times New Roman" w:cs="Times New Roman" w:eastAsia="Times New Roman" w:hAnsi="Times New Roman"/>
          <w:sz w:val="18"/>
          <w:szCs w:val="18"/>
          <w:color w:val="auto"/>
        </w:rPr>
      </w:pPr>
    </w:p>
    <w:p>
      <w:pPr>
        <w:ind w:left="440" w:hanging="440"/>
        <w:spacing w:after="0" w:line="282"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the current senior management team and our scientific advisors as well as qualified scientific, technical and business personnel; and</w:t>
      </w:r>
    </w:p>
    <w:p>
      <w:pPr>
        <w:spacing w:after="0" w:line="159"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proxy statement, including those set forth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760" w:top="823"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292100</wp:posOffset>
            </wp:positionH>
            <wp:positionV relativeFrom="page">
              <wp:posOffset>618490</wp:posOffset>
            </wp:positionV>
            <wp:extent cx="6964680" cy="7059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4680" cy="7059295"/>
                    </a:xfrm>
                    <a:prstGeom prst="rect">
                      <a:avLst/>
                    </a:prstGeom>
                    <a:noFill/>
                  </pic:spPr>
                </pic:pic>
              </a:graphicData>
            </a:graphic>
          </wp:anchor>
        </w:drawing>
        <w:t>SUMMARY OF THE PROXY STATEMENT</w:t>
      </w:r>
    </w:p>
    <w:p>
      <w:pPr>
        <w:spacing w:after="0" w:line="227"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proxy statement but does not contain all of the information that may be important to you. To better understand the Proposals to be considered at the Stockholders Meeting, including the Business Combination Proposal, whether or not you plan to attend such meeting, we urge you to read this proxy statement (including the annexes) carefully, including the section entitled “Risk Factors” beginning on page 32. See also the section entitled “Where You Can Find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Stockholders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Date, Time and Place of Stockholders Meeting</w:t>
      </w:r>
    </w:p>
    <w:p>
      <w:pPr>
        <w:spacing w:after="0" w:line="22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Stockholders Meeting will be held at 10:00 a.m. Eastern time, on October 26, 2022, or at such other date, time and place to which such meeting may be adjourned or postponed, as a virtual meeting, to consider and vote upon the Proposals. You will be able to attend, vote your shares, and submit questions during the special meeting via a live webcast available at www.virtualshareholdermeeting.com/COEP2022SM. Stockholders may also access proxy material information prior to the Stockholders Meeting at www.proxyvote.com.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Date; Outstanding Shares; Stockholders Entitled to Vote</w:t>
      </w:r>
    </w:p>
    <w:p>
      <w:pPr>
        <w:spacing w:after="0" w:line="229"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 xml:space="preserve">Coeptis has fixed the close of business on September 16, 2022, as the Record Date for determining the Coeptis stockholders entitled to notice of and to attend and vote at the Stockholders Meeting. As of the close of business on such date, there were 51,207,163 shares of common stock of Coeptis (including the Series B Preferred Stock on an as converted basis), outstanding and entitled to vote, see the paragraph entitled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section entitled “</w:t>
      </w:r>
      <w:r>
        <w:rPr>
          <w:rFonts w:ascii="Times New Roman" w:cs="Times New Roman" w:eastAsia="Times New Roman" w:hAnsi="Times New Roman"/>
          <w:sz w:val="18"/>
          <w:szCs w:val="18"/>
          <w:i w:val="1"/>
          <w:iCs w:val="1"/>
          <w:color w:val="auto"/>
        </w:rPr>
        <w:t xml:space="preserve">Description of Coeptis’, Bull Horn’s, and the Company’s Securities” </w:t>
      </w:r>
      <w:r>
        <w:rPr>
          <w:rFonts w:ascii="Times New Roman" w:cs="Times New Roman" w:eastAsia="Times New Roman" w:hAnsi="Times New Roman"/>
          <w:sz w:val="18"/>
          <w:szCs w:val="18"/>
          <w:color w:val="auto"/>
        </w:rPr>
        <w:t>for the voting rights of the Series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Each share of common stock is entitled to one vote per share at the Stockholders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Solicitation</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Proxies with respect to the Stockholders Meeting may be solicited by telephone, by facsimile, by mail, on the Internet or in person virtually. If a stockholder grants a proxy, it may still vote its shares in person virtually if it revokes its proxy before the Stockholders Meeting. A shareholder may also change its vote by submitting a later-dated proxy, as described in the section entitled “</w:t>
      </w:r>
      <w:r>
        <w:rPr>
          <w:rFonts w:ascii="Times New Roman" w:cs="Times New Roman" w:eastAsia="Times New Roman" w:hAnsi="Times New Roman"/>
          <w:sz w:val="18"/>
          <w:szCs w:val="18"/>
          <w:i w:val="1"/>
          <w:iCs w:val="1"/>
          <w:color w:val="auto"/>
        </w:rPr>
        <w:t>Stockholders Meeting — Revoking Your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Changing Your Vote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and Required Vote</w:t>
      </w:r>
    </w:p>
    <w:p>
      <w:pPr>
        <w:spacing w:after="0" w:line="229"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A quorum of Coeptis stockholders is necessary to hold the Stockholders Meeting. The presence, in person virtually or by proxy, of Coeptis stockholders representing the holders of a majority of the common stock (including the Series B Stock on an as converted basis) issued and outstanding on the Record Date and entitled to vote on the Proposals to be considered at the Stockholders Meeting will constitute a quorum for the Stockholders Meeting. The Business Combination Proposal must be approved in order for Coeptis to complete the Business Combination as contemplated by the Merger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 to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Coeptis</w:t>
      </w:r>
    </w:p>
    <w:p>
      <w:pPr>
        <w:spacing w:after="0" w:line="22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Coeptis was originally incorporated in the State of Colorado in 1996 under the name Nelx Marketing Inc., and then changed its name to Mind 2 Market, Inc. (in 1996), then to Health Partnership, Inc. (in 2005) and then to Naerodynamics, Inc. (in 2008). In January 2020, Coeptis redomiciled to the State of Delaware and changed its then corporate name to NDYN Merger Corp. In February 2020, NDYN Merger Corp. enacted a Holding Company Reorganization pursuant to Section 251(g) of the DGCL and, in connection therewith, changed its corporate name to Vinings Holdings, Inc. Effective July 12, 2021, the company’s name changed to “Coeptis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600" w:top="1346" w:right="6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635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4680" cy="6356350"/>
                    </a:xfrm>
                    <a:prstGeom prst="rect">
                      <a:avLst/>
                    </a:prstGeom>
                    <a:noFill/>
                  </pic:spPr>
                </pic:pic>
              </a:graphicData>
            </a:graphic>
          </wp:anchor>
        </w:drawing>
        <w:t>The 2021 Merger Transaction</w:t>
      </w:r>
    </w:p>
    <w:p>
      <w:pPr>
        <w:spacing w:after="0" w:line="225"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8"/>
          <w:szCs w:val="18"/>
          <w:color w:val="auto"/>
        </w:rPr>
        <w:t>On February 12, 2021, Coeptis Acquisition Sub, Inc. (“</w:t>
      </w:r>
      <w:r>
        <w:rPr>
          <w:rFonts w:ascii="Times New Roman" w:cs="Times New Roman" w:eastAsia="Times New Roman" w:hAnsi="Times New Roman"/>
          <w:sz w:val="18"/>
          <w:szCs w:val="18"/>
          <w:b w:val="1"/>
          <w:bCs w:val="1"/>
          <w:color w:val="auto"/>
        </w:rPr>
        <w:t>Acquisition Corp.</w:t>
      </w:r>
      <w:r>
        <w:rPr>
          <w:rFonts w:ascii="Times New Roman" w:cs="Times New Roman" w:eastAsia="Times New Roman" w:hAnsi="Times New Roman"/>
          <w:sz w:val="18"/>
          <w:szCs w:val="18"/>
          <w:color w:val="auto"/>
        </w:rPr>
        <w:t>”), a wholly-owned subsidiary of Coeptis, merged (the “</w:t>
      </w: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and into Coeptis Pharmaceuticals, Inc., a Delaware corporation (“</w:t>
      </w:r>
      <w:r>
        <w:rPr>
          <w:rFonts w:ascii="Times New Roman" w:cs="Times New Roman" w:eastAsia="Times New Roman" w:hAnsi="Times New Roman"/>
          <w:sz w:val="18"/>
          <w:szCs w:val="18"/>
          <w:b w:val="1"/>
          <w:bCs w:val="1"/>
          <w:color w:val="auto"/>
        </w:rPr>
        <w:t>Coeptis Pharmaceuticals</w:t>
      </w:r>
      <w:r>
        <w:rPr>
          <w:rFonts w:ascii="Times New Roman" w:cs="Times New Roman" w:eastAsia="Times New Roman" w:hAnsi="Times New Roman"/>
          <w:sz w:val="18"/>
          <w:szCs w:val="18"/>
          <w:color w:val="auto"/>
        </w:rPr>
        <w:t>”), with Coeptis Pharmaceuticals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corporation of the 2021 Merger. As a result of the 2021 Merger, Coeptis acquired the business of Coeptis Pharmaceuticals, which now continues its existing business operations as Coeptis’ wholly-owned subsidiary.</w:t>
      </w:r>
    </w:p>
    <w:p>
      <w:pPr>
        <w:spacing w:after="0" w:line="178" w:lineRule="exact"/>
        <w:rPr>
          <w:sz w:val="20"/>
          <w:szCs w:val="20"/>
          <w:color w:val="auto"/>
        </w:rPr>
      </w:pPr>
    </w:p>
    <w:p>
      <w:pPr>
        <w:ind w:right="440" w:firstLine="432"/>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About Coeptis’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wholly-owned subsidiary, Coeptis Pharmaceuticals, was formed in November 2018, and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Coeptis Pharmaceuticals, LLC, was formed in July 2017. Through Coeptis’ subsidiaries, it focuses on the development and/or acquisition of pharmaceutical products and technologies which offer improvements to current therapies, thereby improving patient outcomes.</w:t>
      </w:r>
    </w:p>
    <w:p>
      <w:pPr>
        <w:spacing w:after="0" w:line="175"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Coeptis’ current business model is designed around furthering the development of its current product portfolio. Coeptis is continually exploring partnership opportunities with companies that have novel therapies in various stages of development or companies with technologies that improve the way that drugs are delivered to patients. Coeptis seeks the best strategic relationships, which relationships could include in-license agreements, out-license agreements, co-development arrangements and other strategic partnerships in new and exciting therapeutic areas such as auto-immune disease and oncology.</w:t>
      </w:r>
    </w:p>
    <w:p>
      <w:pPr>
        <w:spacing w:after="0" w:line="183"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Coeptis’ principal executive offices are located at 105 Bradford Rd, Suite 420, Wexford, Pennsylvania 15090 and its telephone number is (724) 934-6467.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Bull Horn</w:t>
      </w:r>
    </w:p>
    <w:p>
      <w:pPr>
        <w:spacing w:after="0" w:line="229"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8"/>
          <w:szCs w:val="18"/>
          <w:color w:val="auto"/>
        </w:rPr>
        <w:t>Bull Horn was incorporated as a British Virgin Islands business company on November 27, 2018 as a blank check company for the purpose of acquiring, engaging in a share exchange, share reconstruction and amalgamation with, purchasing all or substantially all of the assets of, entering into contractual arrangements with, or engaging in any other similar business combination with one or more businesses or entities. In</w:t>
      </w:r>
    </w:p>
    <w:p>
      <w:pPr>
        <w:spacing w:after="0" w:line="1"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December 2018 and January 2019, Bull Horn sold an aggregate of 2,156,250 ordinary shares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to the sponsor for an aggregate purchase price of $25,000, or approximately $0.012 per share.</w:t>
      </w:r>
    </w:p>
    <w:p>
      <w:pPr>
        <w:spacing w:after="0" w:line="177"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8"/>
          <w:szCs w:val="18"/>
          <w:color w:val="auto"/>
        </w:rPr>
        <w:t>On November 3, 2020, Bull Horn completed its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of 7,500,000 units. Each unit consists of one ordinary share and one warrant, with each warrant entitling the holder thereof to purchase one-half of one ordinary share for $11.50 per whole share. The units were sold at a price of $10.00 per Unit, generating gross proceeds to Bull Horn of $75,000,000.</w:t>
      </w:r>
    </w:p>
    <w:p>
      <w:pPr>
        <w:spacing w:after="0" w:line="171"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IPO, Bull Horn consummated the sale of an aggregate of 3,750,000 warrants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at a price of $1.00 per warrant in a private placement to Bull Horn’s sponsor, Bull Horn Holdings sponsor LLC, a Delaware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Imperial Capital, LLC, the representative of the underwriter of the IPO (“</w:t>
      </w:r>
      <w:r>
        <w:rPr>
          <w:rFonts w:ascii="Times New Roman" w:cs="Times New Roman" w:eastAsia="Times New Roman" w:hAnsi="Times New Roman"/>
          <w:sz w:val="18"/>
          <w:szCs w:val="18"/>
          <w:b w:val="1"/>
          <w:bCs w:val="1"/>
          <w:color w:val="auto"/>
        </w:rPr>
        <w:t>Imperial</w:t>
      </w:r>
      <w:r>
        <w:rPr>
          <w:rFonts w:ascii="Times New Roman" w:cs="Times New Roman" w:eastAsia="Times New Roman" w:hAnsi="Times New Roman"/>
          <w:sz w:val="18"/>
          <w:szCs w:val="18"/>
          <w:color w:val="auto"/>
        </w:rPr>
        <w:t>”), I-Bankers Securities, Inc. (“</w:t>
      </w:r>
      <w:r>
        <w:rPr>
          <w:rFonts w:ascii="Times New Roman" w:cs="Times New Roman" w:eastAsia="Times New Roman" w:hAnsi="Times New Roman"/>
          <w:sz w:val="18"/>
          <w:szCs w:val="18"/>
          <w:b w:val="1"/>
          <w:bCs w:val="1"/>
          <w:color w:val="auto"/>
        </w:rPr>
        <w:t>I-Bankers</w:t>
      </w:r>
      <w:r>
        <w:rPr>
          <w:rFonts w:ascii="Times New Roman" w:cs="Times New Roman" w:eastAsia="Times New Roman" w:hAnsi="Times New Roman"/>
          <w:sz w:val="18"/>
          <w:szCs w:val="18"/>
          <w:color w:val="auto"/>
        </w:rPr>
        <w:t>”) and Northland Securities, Inc. (“</w:t>
      </w:r>
      <w:r>
        <w:rPr>
          <w:rFonts w:ascii="Times New Roman" w:cs="Times New Roman" w:eastAsia="Times New Roman" w:hAnsi="Times New Roman"/>
          <w:sz w:val="18"/>
          <w:szCs w:val="18"/>
          <w:b w:val="1"/>
          <w:bCs w:val="1"/>
          <w:color w:val="auto"/>
        </w:rPr>
        <w:t>Northland</w:t>
      </w:r>
      <w:r>
        <w:rPr>
          <w:rFonts w:ascii="Times New Roman" w:cs="Times New Roman" w:eastAsia="Times New Roman" w:hAnsi="Times New Roman"/>
          <w:sz w:val="18"/>
          <w:szCs w:val="18"/>
          <w:color w:val="auto"/>
        </w:rPr>
        <w:t>”), generating total gross proceeds of $3,750,000. On December 10, 2020, the underwriters notified Bull Horn that they would not be exercising the over-allotment option and as a result, the sponsor returned 281,250 founder shares to Bull Horn for no consideration and such ordinary shares were cancelled. Effective December 10, 2020, by agreement between the sponsor and the underwriters, an aggregate of 375,000 Private Placement Warrants were assigned by the underwriters to the sponsor.</w:t>
      </w:r>
    </w:p>
    <w:p>
      <w:pPr>
        <w:spacing w:after="0" w:line="187" w:lineRule="exact"/>
        <w:rPr>
          <w:sz w:val="20"/>
          <w:szCs w:val="20"/>
          <w:color w:val="auto"/>
        </w:rPr>
      </w:pPr>
    </w:p>
    <w:p>
      <w:pPr>
        <w:jc w:val="both"/>
        <w:ind w:right="380" w:firstLine="432"/>
        <w:spacing w:after="0" w:line="266" w:lineRule="auto"/>
        <w:rPr>
          <w:sz w:val="20"/>
          <w:szCs w:val="20"/>
          <w:color w:val="auto"/>
        </w:rPr>
      </w:pPr>
      <w:r>
        <w:rPr>
          <w:rFonts w:ascii="Times New Roman" w:cs="Times New Roman" w:eastAsia="Times New Roman" w:hAnsi="Times New Roman"/>
          <w:sz w:val="18"/>
          <w:szCs w:val="18"/>
          <w:color w:val="auto"/>
        </w:rPr>
        <w:t>A total of $75,750,000, comprised of $72,000,000 of the proceeds from the IPO and $3,750,000 of the proceeds of the sale of the Private Placement Warrants, was placed in a U.S.-based trust account at Morgan Stanley, N.A.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maintained by Continental Stock Transfer &amp; Trust Company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acting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600" w:top="1292" w:right="619" w:bottom="1440" w:gutter="0" w:footer="0" w:header="0"/>
        </w:sectPr>
      </w:pPr>
    </w:p>
    <w:bookmarkStart w:id="13" w:name="page14"/>
    <w:bookmarkEnd w:id="13"/>
    <w:p>
      <w:pPr>
        <w:ind w:firstLine="43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5807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4680" cy="5807710"/>
                    </a:xfrm>
                    <a:prstGeom prst="rect">
                      <a:avLst/>
                    </a:prstGeom>
                    <a:noFill/>
                  </pic:spPr>
                </pic:pic>
              </a:graphicData>
            </a:graphic>
          </wp:anchor>
        </w:drawing>
        <w:t>Bull Horn’s management team is led by Robert Striar, Chief Executive Officer, and Christopher Calise, Chief Financial Officer (each of whom are also directors of Bull Horn). Bull Horn must complete its initial business combination by November 3, 2022, which date was extended by approval of the shareholders of Bull Horn in a special meeting of shareholders held on April 26, 2022. On April 27, 2022, Bull Horn filed an amended and restated copy of the Amended and Restated Memorandum and Articles of Association with the Registrar of Corporate Affairs of the British Virgin Islands, effective the same day. In connection with the special meeting, shareholders holding 4,258,586 public shares exercised their right to redeem their shares for a pro rata portion of the funds in the trust account. As a result, approximately $43.0 million (approximately $10.10 per public share) was removed from the trust account immediately after redemption to pay such holders and approximately $33.0 million remains in the trust account as of June 30, 2022. Following redemptions, Bull Horn has 3,241,414 public shares outstanding, and the sponsor agreed to lend Bull Horn $66,667 (or approximately $0.02 per public share that remains outstanding) per month to deposit into the trust account in connection with the extension of Bull Horn’s termination date from May 3, 2022 to November 3, 2022. If the initial business combination is not consummated by November 3, 2022, then Bull Horn’s existence will terminate, and Bull Horn will distribute all amounts in the trust account.</w:t>
      </w:r>
    </w:p>
    <w:p>
      <w:pPr>
        <w:spacing w:after="0" w:line="192"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Bull Horn’s principal executive offices are located at 801 S. Pointe Drive, Suite TH-1, Miami Beach, Florida 33139 and its phone number is (305) 671-3341.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Sub</w:t>
      </w:r>
    </w:p>
    <w:p>
      <w:pPr>
        <w:spacing w:after="0" w:line="229"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Merger Sub is a Delaware corporation and wholly-owned subsidiary of Bull Horn formed on April 14, 2022. In the Merger, Merger Sub will merge with and into Coeptis with Coeptis being the surviving entity and becoming a wholly-owned subsidiary of Bull Horn.</w:t>
      </w:r>
    </w:p>
    <w:p>
      <w:pPr>
        <w:spacing w:after="0" w:line="16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Merger Sub’s principal executive offices are located at 801 S. Pointe Drive, Suite TH-1, Miami Beach, Florida 33139 and its phone number is (305) 671-3341.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Proposals to be Submitted at the Stockholders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Proposal</w:t>
      </w:r>
    </w:p>
    <w:p>
      <w:pPr>
        <w:spacing w:after="0" w:line="22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Bull Horn and Coeptis have agreed to the Business Combination under the terms of the Merger Agreement. Pursuant to the terms set forth in the Merger Agreement, subject to the satisfaction or waiver of the conditions to the Closing therein, after completion of the Domestication (as defined below), Merger Sub will merge with and into Coeptis, with Coeptis continuing as the surviving entity and becoming a wholly-owned subsidiary of the Company.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Merger Agreement</w:t>
      </w:r>
    </w:p>
    <w:p>
      <w:pPr>
        <w:spacing w:after="0" w:line="227"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subject to the terms and conditions set forth therein, (i) prior to the Closing (as defined below), Bull Horn will re-domicile from the British Virgin Islands to the State of Delaware through a statutory re-domestication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and (ii) upon the consummation of the transactions contemplated by the Merger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Merger Sub will merge with and into Coeptis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together with the Domestication and the other transactions contemplated by the Merger Agreement,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with Coeptis continuing as the surviving corporation in the Merger and a wholly-owned subsidiary of Bull Horn (after the Domestication).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600" w:top="1296" w:right="619" w:bottom="1440" w:gutter="0" w:footer="0" w:header="0"/>
        </w:sectPr>
      </w:pPr>
    </w:p>
    <w:bookmarkStart w:id="14" w:name="page15"/>
    <w:bookmarkEnd w:id="14"/>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7290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4680" cy="7290435"/>
                    </a:xfrm>
                    <a:prstGeom prst="rect">
                      <a:avLst/>
                    </a:prstGeom>
                    <a:noFill/>
                  </pic:spPr>
                </pic:pic>
              </a:graphicData>
            </a:graphic>
          </wp:anchor>
        </w:drawing>
        <w:t>Prior to the Merger, all outstanding shares of Coeptis preferred stock will convert or exchange their shares of preferred stock for shares of Coeptis common stock at the applicable ratio of 1,000 shares of Coeptis common stock for each share of Coeptis preferred stock, as set forth within Coeptis’ organizational documents (the “</w:t>
      </w:r>
      <w:r>
        <w:rPr>
          <w:rFonts w:ascii="Times New Roman" w:cs="Times New Roman" w:eastAsia="Times New Roman" w:hAnsi="Times New Roman"/>
          <w:sz w:val="18"/>
          <w:szCs w:val="18"/>
          <w:b w:val="1"/>
          <w:bCs w:val="1"/>
          <w:color w:val="auto"/>
        </w:rPr>
        <w:t>Preferred Stock Exchange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the Merger, (i) all shares of Coeptis common stock issued and outstanding immediately prior to the effective time of the Merger (other than those properly exercising any applicable dissenters rights under Delaware law), but after giving effect to the Preferred Stock Exchange, will be converted into the right to receive a portion of the Merger Consideration (as defined below), (ii) certain issued and outstanding warrants to acquire shares of Coeptis stock (the “</w:t>
      </w:r>
      <w:r>
        <w:rPr>
          <w:rFonts w:ascii="Times New Roman" w:cs="Times New Roman" w:eastAsia="Times New Roman" w:hAnsi="Times New Roman"/>
          <w:sz w:val="18"/>
          <w:szCs w:val="18"/>
          <w:b w:val="1"/>
          <w:bCs w:val="1"/>
          <w:color w:val="auto"/>
        </w:rPr>
        <w:t>Specified Warrants</w:t>
      </w:r>
      <w:r>
        <w:rPr>
          <w:rFonts w:ascii="Times New Roman" w:cs="Times New Roman" w:eastAsia="Times New Roman" w:hAnsi="Times New Roman"/>
          <w:sz w:val="18"/>
          <w:szCs w:val="18"/>
          <w:color w:val="auto"/>
        </w:rPr>
        <w:t>”) will be assumed by Bull Horn and converted into a warrant for shares of Bull Horn common stock with its price and number of shares equitably adjusted based on the conversion of the shares of Coeptis common stock into the Merger Consideration (each, an “</w:t>
      </w:r>
      <w:r>
        <w:rPr>
          <w:rFonts w:ascii="Times New Roman" w:cs="Times New Roman" w:eastAsia="Times New Roman" w:hAnsi="Times New Roman"/>
          <w:sz w:val="18"/>
          <w:szCs w:val="18"/>
          <w:b w:val="1"/>
          <w:bCs w:val="1"/>
          <w:color w:val="auto"/>
        </w:rPr>
        <w:t>Assumed Warrant</w:t>
      </w:r>
      <w:r>
        <w:rPr>
          <w:rFonts w:ascii="Times New Roman" w:cs="Times New Roman" w:eastAsia="Times New Roman" w:hAnsi="Times New Roman"/>
          <w:sz w:val="18"/>
          <w:szCs w:val="18"/>
          <w:color w:val="auto"/>
        </w:rPr>
        <w:t>”), (iii) certain outstanding convertible debt of Coeptis (the “</w:t>
      </w:r>
      <w:r>
        <w:rPr>
          <w:rFonts w:ascii="Times New Roman" w:cs="Times New Roman" w:eastAsia="Times New Roman" w:hAnsi="Times New Roman"/>
          <w:sz w:val="18"/>
          <w:szCs w:val="18"/>
          <w:b w:val="1"/>
          <w:bCs w:val="1"/>
          <w:color w:val="auto"/>
        </w:rPr>
        <w:t>Coeptis Convertible Debt</w:t>
      </w:r>
      <w:r>
        <w:rPr>
          <w:rFonts w:ascii="Times New Roman" w:cs="Times New Roman" w:eastAsia="Times New Roman" w:hAnsi="Times New Roman"/>
          <w:sz w:val="18"/>
          <w:szCs w:val="18"/>
          <w:color w:val="auto"/>
        </w:rPr>
        <w:t>”) will be assumed by Bull Horn and will be convertible into common stock of Bull Horn (the “</w:t>
      </w:r>
      <w:r>
        <w:rPr>
          <w:rFonts w:ascii="Times New Roman" w:cs="Times New Roman" w:eastAsia="Times New Roman" w:hAnsi="Times New Roman"/>
          <w:sz w:val="18"/>
          <w:szCs w:val="18"/>
          <w:b w:val="1"/>
          <w:bCs w:val="1"/>
          <w:color w:val="auto"/>
        </w:rPr>
        <w:t>Assumed Convertible Debt</w:t>
      </w:r>
      <w:r>
        <w:rPr>
          <w:rFonts w:ascii="Times New Roman" w:cs="Times New Roman" w:eastAsia="Times New Roman" w:hAnsi="Times New Roman"/>
          <w:sz w:val="18"/>
          <w:szCs w:val="18"/>
          <w:color w:val="auto"/>
        </w:rPr>
        <w:t>”) and (iv) any other outstanding securities with the right to convert into or acquire equity securities of Coeptis or its subsidiaries will be terminated. At the Closing, Bull Horn will change its name to “Coeptis Therapeutics Holdings, Inc.”</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Organizational Structure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diagrams below depict simplified versions of the current organizational structures of Bull Horn and Coeptis,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600" w:top="1296" w:right="639" w:bottom="1440" w:gutter="0" w:footer="0" w:header="0"/>
        </w:sectPr>
      </w:pPr>
    </w:p>
    <w:bookmarkStart w:id="15" w:name="page16"/>
    <w:bookmarkEnd w:id="15"/>
    <w:p>
      <w:pPr>
        <w:ind w:firstLine="43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5499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4680" cy="5499100"/>
                    </a:xfrm>
                    <a:prstGeom prst="rect">
                      <a:avLst/>
                    </a:prstGeom>
                    <a:noFill/>
                  </pic:spPr>
                </pic:pic>
              </a:graphicData>
            </a:graphic>
          </wp:anchor>
        </w:drawing>
        <w:t>The diagram below depicts a simplified version of our organizational structure immediately following the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600" w:top="1296" w:right="1259" w:bottom="1440" w:gutter="0" w:footer="0" w:header="0"/>
        </w:sectPr>
      </w:pPr>
    </w:p>
    <w:bookmarkStart w:id="16" w:name="page17"/>
    <w:bookmarkEnd w:id="16"/>
    <w:p>
      <w:pPr>
        <w:ind w:right="680" w:firstLine="432"/>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638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4680" cy="6381750"/>
                    </a:xfrm>
                    <a:prstGeom prst="rect">
                      <a:avLst/>
                    </a:prstGeom>
                    <a:noFill/>
                  </pic:spPr>
                </pic:pic>
              </a:graphicData>
            </a:graphic>
          </wp:anchor>
        </w:drawing>
        <w:t>See the section entitled “</w:t>
      </w:r>
      <w:r>
        <w:rPr>
          <w:rFonts w:ascii="Times New Roman" w:cs="Times New Roman" w:eastAsia="Times New Roman" w:hAnsi="Times New Roman"/>
          <w:sz w:val="18"/>
          <w:szCs w:val="18"/>
          <w:i w:val="1"/>
          <w:iCs w:val="1"/>
          <w:color w:val="auto"/>
        </w:rPr>
        <w:t>Proposal 1: The Business Combination Proposal</w:t>
      </w:r>
      <w:r>
        <w:rPr>
          <w:rFonts w:ascii="Times New Roman" w:cs="Times New Roman" w:eastAsia="Times New Roman" w:hAnsi="Times New Roman"/>
          <w:sz w:val="18"/>
          <w:szCs w:val="18"/>
          <w:color w:val="auto"/>
        </w:rPr>
        <w:t>” for a summary of the terms of the Merger Agreement and additional information regarding the terms of the Business Combination Proposal.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the Company Following the Business Combination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directors and executive officers upon completion of the Business Combination will be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tcBorders>
              <w:top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40" w:type="dxa"/>
            <w:vAlign w:val="bottom"/>
            <w:tcBorders>
              <w:top w:val="single" w:sz="8" w:color="auto"/>
            </w:tcBorders>
          </w:tcPr>
          <w:p>
            <w:pPr>
              <w:ind w:left="30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1260" w:type="dxa"/>
            <w:vAlign w:val="bottom"/>
            <w:tcBorders>
              <w:top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53</w:t>
            </w:r>
          </w:p>
        </w:tc>
        <w:tc>
          <w:tcPr>
            <w:tcW w:w="65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Daniel Yerace</w:t>
            </w:r>
          </w:p>
        </w:tc>
        <w:tc>
          <w:tcPr>
            <w:tcW w:w="12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39</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and Vice President of Operations</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126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55</w:t>
            </w: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Tara Maria DeSilva</w:t>
            </w:r>
          </w:p>
        </w:tc>
        <w:tc>
          <w:tcPr>
            <w:tcW w:w="12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54</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Philippe Deschamps</w:t>
            </w:r>
          </w:p>
        </w:tc>
        <w:tc>
          <w:tcPr>
            <w:tcW w:w="126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60</w:t>
            </w: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Patrick Cochran</w:t>
            </w:r>
          </w:p>
        </w:tc>
        <w:tc>
          <w:tcPr>
            <w:tcW w:w="12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53</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 Salkind</w:t>
            </w:r>
          </w:p>
        </w:tc>
        <w:tc>
          <w:tcPr>
            <w:tcW w:w="126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68</w:t>
            </w: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Christopher Calise</w:t>
            </w:r>
          </w:p>
        </w:tc>
        <w:tc>
          <w:tcPr>
            <w:tcW w:w="126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49</w:t>
            </w:r>
          </w:p>
        </w:tc>
        <w:tc>
          <w:tcPr>
            <w:tcW w:w="6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6" w:lineRule="exact"/>
        <w:rPr>
          <w:sz w:val="20"/>
          <w:szCs w:val="20"/>
          <w:color w:val="auto"/>
        </w:rPr>
      </w:pPr>
    </w:p>
    <w:p>
      <w:pPr>
        <w:ind w:right="660" w:firstLine="432"/>
        <w:spacing w:after="0" w:line="284" w:lineRule="auto"/>
        <w:rPr>
          <w:sz w:val="20"/>
          <w:szCs w:val="20"/>
          <w:color w:val="auto"/>
        </w:rPr>
      </w:pPr>
      <w:r>
        <w:rPr>
          <w:rFonts w:ascii="Times New Roman" w:cs="Times New Roman" w:eastAsia="Times New Roman" w:hAnsi="Times New Roman"/>
          <w:sz w:val="18"/>
          <w:szCs w:val="18"/>
          <w:color w:val="auto"/>
        </w:rPr>
        <w:t>For more information on the directors and executive officers upon completion of the Business Combination, see “</w:t>
      </w:r>
      <w:r>
        <w:rPr>
          <w:rFonts w:ascii="Times New Roman" w:cs="Times New Roman" w:eastAsia="Times New Roman" w:hAnsi="Times New Roman"/>
          <w:sz w:val="18"/>
          <w:szCs w:val="18"/>
          <w:i w:val="1"/>
          <w:iCs w:val="1"/>
          <w:color w:val="auto"/>
        </w:rPr>
        <w:t>Management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Following the Business Combination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Adjournment Proposal</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Adjournment Proposal, if adopted, will allow the Coeptis Board to adjourn the Stockholders Meeting to a later date or dates, including, if necessary to permit further solicitation and vote of proxies if it is determined by Coeptis that more time is necessary or appropriate to approve one or more Proposals at the Stockholders Meeting. The Adjournment Proposal will not be submitted if the Business Combination Proposal is approved. A summary of the Adjournment Proposal is set forth in the section entitled “</w:t>
      </w:r>
      <w:r>
        <w:rPr>
          <w:rFonts w:ascii="Times New Roman" w:cs="Times New Roman" w:eastAsia="Times New Roman" w:hAnsi="Times New Roman"/>
          <w:sz w:val="18"/>
          <w:szCs w:val="18"/>
          <w:i w:val="1"/>
          <w:iCs w:val="1"/>
          <w:color w:val="auto"/>
        </w:rPr>
        <w:t>Proposal 2: The Adjournment Proposal</w:t>
      </w:r>
      <w:r>
        <w:rPr>
          <w:rFonts w:ascii="Times New Roman" w:cs="Times New Roman" w:eastAsia="Times New Roman" w:hAnsi="Times New Roman"/>
          <w:sz w:val="18"/>
          <w:szCs w:val="18"/>
          <w:color w:val="auto"/>
        </w:rPr>
        <w:t>” of this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22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Business Combination will be accounted for as a capital reorganization in accordance with GAAP. Under this method of accounting, Bull Horn will be treated as the “acquired” company for accounting purposes. Accordingly, the Business Combination will be treated as the equivalent of Coeptis issuing shares at the closing of the Business Combination for the net assets of Bull Horn as of the closing date, accompanied by a recapitalization.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229" w:lineRule="exact"/>
        <w:rPr>
          <w:sz w:val="20"/>
          <w:szCs w:val="20"/>
          <w:color w:val="auto"/>
        </w:rPr>
      </w:pPr>
    </w:p>
    <w:p>
      <w:pPr>
        <w:ind w:right="20" w:firstLine="432"/>
        <w:spacing w:after="0" w:line="276" w:lineRule="auto"/>
        <w:rPr>
          <w:sz w:val="20"/>
          <w:szCs w:val="20"/>
          <w:color w:val="auto"/>
        </w:rPr>
      </w:pPr>
      <w:r>
        <w:rPr>
          <w:rFonts w:ascii="Times New Roman" w:cs="Times New Roman" w:eastAsia="Times New Roman" w:hAnsi="Times New Roman"/>
          <w:sz w:val="17"/>
          <w:szCs w:val="17"/>
          <w:color w:val="auto"/>
        </w:rPr>
        <w:t>The Business Combination and the transactions contemplated by the Merger Agreement are not subject to any additional regulatory requirement or approval, except for (i) filings by Bull Horn with British Virgin Islands and Delaware necessary to effectuate the Domestication, and</w:t>
      </w:r>
    </w:p>
    <w:p>
      <w:pPr>
        <w:spacing w:after="0" w:line="1" w:lineRule="exact"/>
        <w:rPr>
          <w:sz w:val="20"/>
          <w:szCs w:val="20"/>
          <w:color w:val="auto"/>
        </w:rPr>
      </w:pPr>
    </w:p>
    <w:p>
      <w:pPr>
        <w:ind w:right="120" w:firstLine="5"/>
        <w:spacing w:after="0" w:line="253"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required with the SEC pursuant to the reporting requirements applicable to Coeptis, and the requirements of the Securities Act and the Exchange Act, including the requirement to file this proxy statement and to disseminate this proxy statement to Bull Horn shareholders and (iii) filings with the SEC pursuant to reporting requirements applicable to Coeptis, and requirements of the Securities Act and Exchange Act, including the requirement to file this proxy statement and disseminate this proxy statement to Coeptis’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600" w:top="1294" w:right="6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6493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4680" cy="6493510"/>
                    </a:xfrm>
                    <a:prstGeom prst="rect">
                      <a:avLst/>
                    </a:prstGeom>
                    <a:noFill/>
                  </pic:spPr>
                </pic:pic>
              </a:graphicData>
            </a:graphic>
          </wp:anchor>
        </w:drawing>
        <w:t>Appraisal Rights</w:t>
      </w:r>
    </w:p>
    <w:p>
      <w:pPr>
        <w:spacing w:after="0" w:line="229" w:lineRule="exact"/>
        <w:rPr>
          <w:sz w:val="20"/>
          <w:szCs w:val="20"/>
          <w:color w:val="auto"/>
        </w:rPr>
      </w:pPr>
    </w:p>
    <w:p>
      <w:pPr>
        <w:ind w:right="360" w:firstLine="432"/>
        <w:spacing w:after="0" w:line="261" w:lineRule="auto"/>
        <w:rPr>
          <w:sz w:val="20"/>
          <w:szCs w:val="20"/>
          <w:color w:val="auto"/>
        </w:rPr>
      </w:pPr>
      <w:r>
        <w:rPr>
          <w:rFonts w:ascii="Times New Roman" w:cs="Times New Roman" w:eastAsia="Times New Roman" w:hAnsi="Times New Roman"/>
          <w:sz w:val="18"/>
          <w:szCs w:val="18"/>
          <w:color w:val="auto"/>
        </w:rPr>
        <w:t>If the Business Combination is completed, Coeptis stockholders who do not vote in favor of the Business Combination are entitled to appraisal rights under Section 262 of the DGCL (“</w:t>
      </w:r>
      <w:r>
        <w:rPr>
          <w:rFonts w:ascii="Times New Roman" w:cs="Times New Roman" w:eastAsia="Times New Roman" w:hAnsi="Times New Roman"/>
          <w:sz w:val="18"/>
          <w:szCs w:val="18"/>
          <w:b w:val="1"/>
          <w:bCs w:val="1"/>
          <w:color w:val="auto"/>
        </w:rPr>
        <w:t>Section 262</w:t>
      </w:r>
      <w:r>
        <w:rPr>
          <w:rFonts w:ascii="Times New Roman" w:cs="Times New Roman" w:eastAsia="Times New Roman" w:hAnsi="Times New Roman"/>
          <w:sz w:val="18"/>
          <w:szCs w:val="18"/>
          <w:color w:val="auto"/>
        </w:rPr>
        <w:t xml:space="preserve">”) provided that they comply with the conditions established by Section 262. For more information about such rights, see the provisions of Section 262 of the DGCL, attached hereto as </w:t>
      </w:r>
      <w:r>
        <w:rPr>
          <w:rFonts w:ascii="Times New Roman" w:cs="Times New Roman" w:eastAsia="Times New Roman" w:hAnsi="Times New Roman"/>
          <w:sz w:val="18"/>
          <w:szCs w:val="18"/>
          <w:u w:val="single" w:color="auto"/>
          <w:color w:val="0000EE"/>
        </w:rPr>
        <w:t>Annex E</w:t>
      </w:r>
      <w:r>
        <w:rPr>
          <w:rFonts w:ascii="Times New Roman" w:cs="Times New Roman" w:eastAsia="Times New Roman" w:hAnsi="Times New Roman"/>
          <w:sz w:val="18"/>
          <w:szCs w:val="18"/>
          <w:color w:val="auto"/>
        </w:rPr>
        <w:t>, and the section entitled “Stockholders”.</w:t>
      </w:r>
    </w:p>
    <w:p>
      <w:pPr>
        <w:spacing w:after="0" w:line="180"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If the Business Combination is completed, Coeptis stockholders who do not vote in favor of the Business Combination are entitled to appraisal rights under Section 262 provided that they comply with the conditions established by Section 262.</w:t>
      </w:r>
    </w:p>
    <w:p>
      <w:pPr>
        <w:spacing w:after="0" w:line="162"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This statement constitutes the formal notice to the Coeptis stockholders of the availability of appraisal rights in connection with the Business Combination.</w:t>
      </w:r>
    </w:p>
    <w:p>
      <w:pPr>
        <w:spacing w:after="0" w:line="162"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following is intended as a brief summary of the material provisions of the statutory procedures required to be followed properly and in a timely manner by a Coeptis stockholder in order to exercise and perfect appraisal rights. This summary, however, is not a complete statement of all applicable requirements and is qualified in its entirety by reference to Section 262, the full text of which is attached hereto as </w:t>
      </w:r>
      <w:r>
        <w:rPr>
          <w:rFonts w:ascii="Times New Roman" w:cs="Times New Roman" w:eastAsia="Times New Roman" w:hAnsi="Times New Roman"/>
          <w:sz w:val="18"/>
          <w:szCs w:val="18"/>
          <w:i w:val="1"/>
          <w:iCs w:val="1"/>
          <w:u w:val="single" w:color="auto"/>
          <w:color w:val="0000EE"/>
        </w:rPr>
        <w:t>Annex E</w:t>
      </w:r>
      <w:r>
        <w:rPr>
          <w:rFonts w:ascii="Times New Roman" w:cs="Times New Roman" w:eastAsia="Times New Roman" w:hAnsi="Times New Roman"/>
          <w:sz w:val="18"/>
          <w:szCs w:val="18"/>
          <w:color w:val="auto"/>
        </w:rPr>
        <w:t>. All references in Section 262 and in this summary to a “stockholder” or “holders of shares” are to the record holder of shares of Coeptis capital stock immediately prior to the effective time of the Business Combination as to which appraisal rights are asserted, unless otherwise indicated.</w:t>
      </w:r>
    </w:p>
    <w:p>
      <w:pPr>
        <w:spacing w:after="0" w:line="183"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Under Section 262, where a merger agreement relating to a proposed merger is to be submitted for approval at a meeting of stockholders, as is the case here, Coeptis, not less than 20 days prior to the meeting, shall notify each of its stockholders who was such on the record date for such meeting with respect to shares for which appraisal rights are available pursuant under Section 262, that appraisal rights are available for any or all of the Coeptis shares, and shall include in such notice a copy of Section 262. Each stockholder electing to demand the appraisal of such stockholder’s shares shall deliver to Coeptis, before the taking of the vote on the merger or consolidation, a written demand for appraisal of such stockholder’s shares. Such demand will be sufficient if it reasonably informs Coeptis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Coeptis stockholder who has complied with this subsection and has not voted in favor of or consented to the merger or consolidation of the date that the merger or consolidation has become effective.</w:t>
      </w:r>
    </w:p>
    <w:p>
      <w:pPr>
        <w:spacing w:after="0" w:line="192" w:lineRule="exact"/>
        <w:rPr>
          <w:sz w:val="20"/>
          <w:szCs w:val="20"/>
          <w:color w:val="auto"/>
        </w:rPr>
      </w:pPr>
    </w:p>
    <w:p>
      <w:pPr>
        <w:ind w:right="220" w:firstLine="432"/>
        <w:spacing w:after="0" w:line="256" w:lineRule="auto"/>
        <w:rPr>
          <w:sz w:val="20"/>
          <w:szCs w:val="20"/>
          <w:color w:val="auto"/>
        </w:rPr>
      </w:pPr>
      <w:r>
        <w:rPr>
          <w:rFonts w:ascii="Times New Roman" w:cs="Times New Roman" w:eastAsia="Times New Roman" w:hAnsi="Times New Roman"/>
          <w:sz w:val="18"/>
          <w:szCs w:val="18"/>
          <w:color w:val="auto"/>
        </w:rPr>
        <w:t>Pursuant to Section 262, Coeptis stockholders who (a) are holders of record of shares of capital stock of Coeptis on the date of making a demand for appraisal of their shares, (b) continuously hold the shares through the effective time of the Business Combination, (c) do not vote in favor of the Business Combination nor consent thereto in writing, (d) comply with the other requirements of Section 262 and (e) have not waived their appraisal rights, will be entitled to have their shares of Coeptis capital stock appraised by the Delaware Court of Chancery and to receive payment of the “fair value” of such shares, exclusive of any element of value arising from the accomplishment or expectation of the Business Combination, together with interest, if any, as determined by the court.</w:t>
      </w:r>
    </w:p>
    <w:p>
      <w:pPr>
        <w:spacing w:after="0" w:line="187" w:lineRule="exact"/>
        <w:rPr>
          <w:sz w:val="20"/>
          <w:szCs w:val="20"/>
          <w:color w:val="auto"/>
        </w:rPr>
      </w:pPr>
    </w:p>
    <w:p>
      <w:pPr>
        <w:jc w:val="both"/>
        <w:ind w:right="340" w:firstLine="432"/>
        <w:spacing w:after="0" w:line="312" w:lineRule="auto"/>
        <w:rPr>
          <w:sz w:val="20"/>
          <w:szCs w:val="20"/>
          <w:color w:val="auto"/>
        </w:rPr>
      </w:pPr>
      <w:r>
        <w:rPr>
          <w:rFonts w:ascii="Times New Roman" w:cs="Times New Roman" w:eastAsia="Times New Roman" w:hAnsi="Times New Roman"/>
          <w:sz w:val="17"/>
          <w:szCs w:val="17"/>
          <w:color w:val="auto"/>
        </w:rPr>
        <w:t>All written demands for appraisal should be addressed to Coeptis at 105 Bradford Road, Suite 420, Wexford, PA 15090. Failure to vote in favor of the Business Combination will not in and of itself constitute a written demand for appraisal satisfying the requirements of Section 262.</w:t>
      </w:r>
    </w:p>
    <w:p>
      <w:pPr>
        <w:spacing w:after="0" w:line="140"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If a Coeptis stockholder fails to deliver a written demand for appraisal within the time period specified above, such stockholder will be entitled to receive the Merger Consideration for his, her or its shares of Coeptis capital stock as provided for in the Merger Agreement, but such stockholder will have no appraisal rights with respect to his, her or its shares of Coeptis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600" w:top="1292" w:right="6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53962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4680" cy="5396230"/>
                    </a:xfrm>
                    <a:prstGeom prst="rect">
                      <a:avLst/>
                    </a:prstGeom>
                    <a:noFill/>
                  </pic:spPr>
                </pic:pic>
              </a:graphicData>
            </a:graphic>
          </wp:anchor>
        </w:drawing>
        <w:t>Interests of the Directors and Officers of Coeptis in the Business Combination</w:t>
      </w:r>
    </w:p>
    <w:p>
      <w:pPr>
        <w:spacing w:after="0" w:line="229" w:lineRule="exact"/>
        <w:rPr>
          <w:sz w:val="20"/>
          <w:szCs w:val="20"/>
          <w:color w:val="auto"/>
        </w:rPr>
      </w:pPr>
    </w:p>
    <w:p>
      <w:pPr>
        <w:ind w:right="100" w:firstLine="432"/>
        <w:spacing w:after="0" w:line="271" w:lineRule="auto"/>
        <w:rPr>
          <w:sz w:val="20"/>
          <w:szCs w:val="20"/>
          <w:color w:val="auto"/>
        </w:rPr>
      </w:pPr>
      <w:r>
        <w:rPr>
          <w:rFonts w:ascii="Times New Roman" w:cs="Times New Roman" w:eastAsia="Times New Roman" w:hAnsi="Times New Roman"/>
          <w:sz w:val="17"/>
          <w:szCs w:val="17"/>
          <w:color w:val="auto"/>
        </w:rPr>
        <w:t>Aside from their interests as stockholders, Coeptis’ directors and officers have interests in the Business Combination that are different from, or in addition to, those of Coeptis’ other stockholders generally. Coeptis’ stockholders should take these interests into account in deciding whether to approve the Business Combination. These interests include, among other things the fact that Coeptis’ directors’ own shares of Coeptis common stock and Coeptis preferred stock which were initially acquired for purchase prices below prices originally paid by other Coeptis stockholders. In addition, it is anticipated that David Mehalick and Daniel Yerace will each be a member of the Company’s board of directors following the closing of the Business Combination, and each of Coeptis’ current officers will become officers of the Company following the closing of the Business Combination, and, as such, after the proposed Business Combination is consummated, Mr. Mehalick, Mr. Yerace and the other officers may in the future receive cash fees, stock options or stock awards that the Company Board determines to pay to its directors and officers. These interests may have influenced Coeptis’ directors in making their recommendation that you vote in favor of the approval of the Business Combination.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Business Combination</w:t>
      </w:r>
    </w:p>
    <w:p>
      <w:pPr>
        <w:spacing w:after="0" w:line="22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 xml:space="preserve">Each of Bull Horn and Coeptis intend that the Business Combination qualify as a reorganization within the meaning of Section 368(a) of the Code. In general, and subject to the qualifications and limitations set forth in the section titled </w:t>
      </w:r>
      <w:r>
        <w:rPr>
          <w:rFonts w:ascii="Times New Roman" w:cs="Times New Roman" w:eastAsia="Times New Roman" w:hAnsi="Times New Roman"/>
          <w:sz w:val="18"/>
          <w:szCs w:val="18"/>
          <w:i w:val="1"/>
          <w:iCs w:val="1"/>
          <w:color w:val="auto"/>
        </w:rPr>
        <w:t>“Proposal 1: The Business Combination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U.S. Federal Income Tax Consequences of the Business Combination,” </w:t>
      </w:r>
      <w:r>
        <w:rPr>
          <w:rFonts w:ascii="Times New Roman" w:cs="Times New Roman" w:eastAsia="Times New Roman" w:hAnsi="Times New Roman"/>
          <w:sz w:val="18"/>
          <w:szCs w:val="18"/>
          <w:color w:val="auto"/>
        </w:rPr>
        <w:t>if the Merger qualifies as a “reorganization” within the meaning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368(a) of the Code, the material tax consequences to U.S. Holders (as defined below) of Coeptis common stock will be as follows:</w:t>
      </w:r>
    </w:p>
    <w:p>
      <w:pPr>
        <w:spacing w:after="0" w:line="180" w:lineRule="exact"/>
        <w:rPr>
          <w:sz w:val="20"/>
          <w:szCs w:val="20"/>
          <w:color w:val="auto"/>
        </w:rPr>
      </w:pPr>
    </w:p>
    <w:p>
      <w:pPr>
        <w:ind w:left="860" w:right="400" w:hanging="423"/>
        <w:spacing w:after="0" w:line="266"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Coeptis stockholder should not recognize gain or loss upon the exchange of Coeptis common stock for Bull Horn common stock pursuant to the Merger, except to the extent of cash received in lieu of a fractional share of Bull Horn common stock as described below;</w:t>
      </w:r>
    </w:p>
    <w:p>
      <w:pPr>
        <w:spacing w:after="0" w:line="175" w:lineRule="exact"/>
        <w:rPr>
          <w:rFonts w:ascii="Times New Roman" w:cs="Times New Roman" w:eastAsia="Times New Roman" w:hAnsi="Times New Roman"/>
          <w:sz w:val="18"/>
          <w:szCs w:val="18"/>
          <w:color w:val="auto"/>
        </w:rPr>
      </w:pPr>
    </w:p>
    <w:p>
      <w:pPr>
        <w:ind w:left="860" w:right="220" w:hanging="423"/>
        <w:spacing w:after="0" w:line="282"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Coeptis stockholder should recognize gain or loss to the extent any cash received in lieu of a fractional share of Bull Horn common stock exceeds or is less than the basis of such fractional share;</w:t>
      </w:r>
    </w:p>
    <w:p>
      <w:pPr>
        <w:spacing w:after="0" w:line="161" w:lineRule="exact"/>
        <w:rPr>
          <w:rFonts w:ascii="Times New Roman" w:cs="Times New Roman" w:eastAsia="Times New Roman" w:hAnsi="Times New Roman"/>
          <w:sz w:val="18"/>
          <w:szCs w:val="18"/>
          <w:color w:val="auto"/>
        </w:rPr>
      </w:pPr>
    </w:p>
    <w:p>
      <w:pPr>
        <w:ind w:left="860" w:right="40" w:hanging="423"/>
        <w:spacing w:after="0" w:line="266"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Coeptis stockholder’s aggregate tax basis for the shares of Bull Horn common stock received in the Merger should equal the stockholder’s aggregate tax basis in the shares of Coeptis common stock surrendered in the Merger, decreased by the amount of any tax basis allocable to a fractional share for which cash is received; and</w:t>
      </w:r>
    </w:p>
    <w:p>
      <w:pPr>
        <w:spacing w:after="0" w:line="175" w:lineRule="exact"/>
        <w:rPr>
          <w:rFonts w:ascii="Times New Roman" w:cs="Times New Roman" w:eastAsia="Times New Roman" w:hAnsi="Times New Roman"/>
          <w:sz w:val="18"/>
          <w:szCs w:val="18"/>
          <w:color w:val="auto"/>
        </w:rPr>
      </w:pPr>
    </w:p>
    <w:p>
      <w:pPr>
        <w:ind w:left="860" w:hanging="423"/>
        <w:spacing w:after="0" w:line="282"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the shares of Bull Horn common stock received by a Coeptis stockholder in the Merger should include the holding period of the shares of Coeptis common stock surrendered in exchange therefor.</w:t>
      </w:r>
    </w:p>
    <w:p>
      <w:pPr>
        <w:spacing w:after="0" w:line="162" w:lineRule="exact"/>
        <w:rPr>
          <w:sz w:val="20"/>
          <w:szCs w:val="20"/>
          <w:color w:val="auto"/>
        </w:rPr>
      </w:pPr>
    </w:p>
    <w:p>
      <w:pPr>
        <w:jc w:val="both"/>
        <w:ind w:right="100" w:firstLine="432"/>
        <w:spacing w:after="0" w:line="289" w:lineRule="auto"/>
        <w:rPr>
          <w:sz w:val="20"/>
          <w:szCs w:val="20"/>
          <w:color w:val="auto"/>
        </w:rPr>
      </w:pPr>
      <w:r>
        <w:rPr>
          <w:rFonts w:ascii="Times New Roman" w:cs="Times New Roman" w:eastAsia="Times New Roman" w:hAnsi="Times New Roman"/>
          <w:sz w:val="17"/>
          <w:szCs w:val="17"/>
          <w:color w:val="auto"/>
        </w:rPr>
        <w:t>Tax matters are very complicated, and the tax consequences of the Business Combination to a particular Coeptis stockholder will depend on such stockholder’s circumstances. Accordingly, you are strongly urged to consult your tax advisor for a full understanding of the tax consequences of the Business Combination to you, including the applicability and effect of federal, state, local and non-U.S. income and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600" w:top="1292"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4436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4680" cy="4436110"/>
                    </a:xfrm>
                    <a:prstGeom prst="rect">
                      <a:avLst/>
                    </a:prstGeom>
                    <a:noFill/>
                  </pic:spPr>
                </pic:pic>
              </a:graphicData>
            </a:graphic>
          </wp:anchor>
        </w:drawing>
        <w:t>Recommendation to Stockholders of Coeptis</w:t>
      </w:r>
    </w:p>
    <w:p>
      <w:pPr>
        <w:spacing w:after="0" w:line="225" w:lineRule="exact"/>
        <w:rPr>
          <w:sz w:val="20"/>
          <w:szCs w:val="20"/>
          <w:color w:val="auto"/>
        </w:rPr>
      </w:pPr>
    </w:p>
    <w:p>
      <w:pPr>
        <w:ind w:right="8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Coeptis Board determined unanimously that each of the Proposals is fair to and in the best interests of Coeptis and its stockholders. The Board unanimously recommends that the stockholders:</w:t>
      </w:r>
    </w:p>
    <w:p>
      <w:pPr>
        <w:spacing w:after="0" w:line="155" w:lineRule="exact"/>
        <w:rPr>
          <w:sz w:val="20"/>
          <w:szCs w:val="20"/>
          <w:color w:val="auto"/>
        </w:rPr>
      </w:pPr>
    </w:p>
    <w:p>
      <w:pPr>
        <w:ind w:left="860" w:hanging="423"/>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“FOR” the Business Combination Proposal;</w:t>
      </w:r>
    </w:p>
    <w:p>
      <w:pPr>
        <w:spacing w:after="0" w:line="225" w:lineRule="exact"/>
        <w:rPr>
          <w:rFonts w:ascii="Times New Roman" w:cs="Times New Roman" w:eastAsia="Times New Roman" w:hAnsi="Times New Roman"/>
          <w:sz w:val="18"/>
          <w:szCs w:val="18"/>
          <w:color w:val="auto"/>
        </w:rPr>
      </w:pPr>
    </w:p>
    <w:p>
      <w:pPr>
        <w:ind w:left="860" w:hanging="423"/>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“FOR” the Adjournment Proposal, if it is presented at the Stockholders Meeting.</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existence of any financial and personal interests of one or more of Coeptis’ directors may be argued to result in a conflict of interest on the part of such director(s) between what he, she or they may believe is in the best interests of Coeptis and its stockholders and what he, she or they may believe is best for himself, herself or themselves in determining to recommend that stockholders vote for the Proposals. See the section entitled “</w:t>
      </w:r>
      <w:r>
        <w:rPr>
          <w:rFonts w:ascii="Times New Roman" w:cs="Times New Roman" w:eastAsia="Times New Roman" w:hAnsi="Times New Roman"/>
          <w:sz w:val="18"/>
          <w:szCs w:val="18"/>
          <w:i w:val="1"/>
          <w:iCs w:val="1"/>
          <w:color w:val="auto"/>
        </w:rPr>
        <w:t>Proposal 1: The Business Combination Proposal — Interests of Coeptis Directors and Officers and Others in the Business Combination</w:t>
      </w:r>
      <w:r>
        <w:rPr>
          <w:rFonts w:ascii="Times New Roman" w:cs="Times New Roman" w:eastAsia="Times New Roman" w:hAnsi="Times New Roman"/>
          <w:sz w:val="18"/>
          <w:szCs w:val="18"/>
          <w:color w:val="auto"/>
        </w:rPr>
        <w:t>” in this proxy statement for a further discussion of such interests and potential conflicts of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Rights of Holders of Coeptis Stock and Company Stock after the Business Combination</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As a result of the Merger, the holders of shares of Coeptis common stock and Coeptis preferred stock will become holders of the Company Common Stock and their rights will be governed by Delaware law (and by the Company’s proposed Amended and Restated Certificate of Incorporation and Bylaws (instead of the Coeptis amended and restated certificate of incorporation and the Coeptis bylaws)). Following the Merger, former Coeptis stockholders may have different rights as Company stockholders than they had as Coeptis stockholders.</w:t>
      </w:r>
    </w:p>
    <w:p>
      <w:pPr>
        <w:spacing w:after="0" w:line="178" w:lineRule="exact"/>
        <w:rPr>
          <w:sz w:val="20"/>
          <w:szCs w:val="20"/>
          <w:color w:val="auto"/>
        </w:rPr>
      </w:pPr>
    </w:p>
    <w:p>
      <w:pPr>
        <w:ind w:right="40" w:firstLine="432"/>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Description of Coeptis’, Bull Horn’s, and the Company’s Securities — Comparison of the Rights of 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Coeptis Stock and Company Stock after the Business Combination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In evaluating the Proposals set forth in this proxy statement, you should carefully read this proxy statement, including the annexes, and especially consider the factors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600" w:top="1292" w:right="6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am I receiving this proxy statement?</w:t>
      </w:r>
    </w:p>
    <w:p>
      <w:pPr>
        <w:spacing w:after="0" w:line="229" w:lineRule="exact"/>
        <w:rPr>
          <w:rFonts w:ascii="Times New Roman" w:cs="Times New Roman" w:eastAsia="Times New Roman" w:hAnsi="Times New Roman"/>
          <w:sz w:val="18"/>
          <w:szCs w:val="18"/>
          <w:b w:val="1"/>
          <w:bCs w:val="1"/>
          <w:i w:val="1"/>
          <w:iCs w:val="1"/>
          <w:color w:val="auto"/>
        </w:rPr>
      </w:pPr>
    </w:p>
    <w:p>
      <w:pPr>
        <w:ind w:left="440" w:right="160" w:hanging="432"/>
        <w:spacing w:after="0" w:line="266" w:lineRule="auto"/>
        <w:tabs>
          <w:tab w:leader="none" w:pos="4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are receiving this proxy statement in connection with the Stockholders Meeting. Coeptis is holding the Stockholders Meeting to consider and vote upon the Proposals described below. </w:t>
      </w:r>
      <w:r>
        <w:rPr>
          <w:rFonts w:ascii="Times New Roman" w:cs="Times New Roman" w:eastAsia="Times New Roman" w:hAnsi="Times New Roman"/>
          <w:sz w:val="18"/>
          <w:szCs w:val="18"/>
          <w:b w:val="1"/>
          <w:bCs w:val="1"/>
          <w:color w:val="auto"/>
        </w:rPr>
        <w:t>Your vote is important. You are encouraged to vote as soon as possible after carefully reviewing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 statement.</w:t>
      </w:r>
    </w:p>
    <w:p>
      <w:pPr>
        <w:spacing w:after="0" w:line="176" w:lineRule="exact"/>
        <w:rPr>
          <w:sz w:val="20"/>
          <w:szCs w:val="20"/>
          <w:color w:val="auto"/>
        </w:rPr>
      </w:pPr>
    </w:p>
    <w:p>
      <w:pPr>
        <w:ind w:left="440" w:right="20"/>
        <w:spacing w:after="0" w:line="256" w:lineRule="auto"/>
        <w:rPr>
          <w:sz w:val="20"/>
          <w:szCs w:val="20"/>
          <w:color w:val="auto"/>
        </w:rPr>
      </w:pPr>
      <w:r>
        <w:rPr>
          <w:rFonts w:ascii="Times New Roman" w:cs="Times New Roman" w:eastAsia="Times New Roman" w:hAnsi="Times New Roman"/>
          <w:sz w:val="18"/>
          <w:szCs w:val="18"/>
          <w:color w:val="auto"/>
        </w:rPr>
        <w:t xml:space="preserve">Coeptis’ stockholders are being asked to consider and vote upon the Business Combination Proposal to approve the Merger Agreement and the Merger contemplated thereby. The Merger Agreement provides that, among other things that Bull Horn’s wholly-owned subsidiary, Merger Sub, will merge with and into Coeptis, with Coeptis continuing as the surviving entity and becoming a subsidiary of the Company. Coeptis Stockholder approval of the Merger Agreement and the transactions contemplated thereby is required by the Merger Agreement. A copy of the Merger Agreement is attached to this proxy statement as </w:t>
      </w:r>
      <w:r>
        <w:rPr>
          <w:rFonts w:ascii="Times New Roman" w:cs="Times New Roman" w:eastAsia="Times New Roman" w:hAnsi="Times New Roman"/>
          <w:sz w:val="18"/>
          <w:szCs w:val="18"/>
          <w:i w:val="1"/>
          <w:iCs w:val="1"/>
          <w:u w:val="single" w:color="auto"/>
          <w:color w:val="0000EE"/>
        </w:rPr>
        <w:t>Annex A</w:t>
      </w:r>
      <w:r>
        <w:rPr>
          <w:rFonts w:ascii="Times New Roman" w:cs="Times New Roman" w:eastAsia="Times New Roman" w:hAnsi="Times New Roman"/>
          <w:sz w:val="18"/>
          <w:szCs w:val="18"/>
          <w:color w:val="auto"/>
        </w:rPr>
        <w:t xml:space="preserve"> and Coeptis encourages its stockholders to read it in its entirety. See the section entitled “</w:t>
      </w: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Coeptis’ stockholders are also being asked to consider and vote upon the Adjournment Proposal to adjourn the Stockholders Meeting to a later date or dates, including, if necessary, including to permit further solicitation and vote of proxies if it is determined by Coeptis that more time is necessary or appropriate to approve one or more Proposals at the Stockholders Meeting. See the section entitled “</w:t>
      </w:r>
      <w:r>
        <w:rPr>
          <w:rFonts w:ascii="Times New Roman" w:cs="Times New Roman" w:eastAsia="Times New Roman" w:hAnsi="Times New Roman"/>
          <w:sz w:val="18"/>
          <w:szCs w:val="18"/>
          <w:i w:val="1"/>
          <w:iCs w:val="1"/>
          <w:color w:val="auto"/>
        </w:rPr>
        <w:t>Proposal 2: The Adjournment Proposal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right="60"/>
        <w:spacing w:after="0" w:line="266" w:lineRule="auto"/>
        <w:rPr>
          <w:sz w:val="20"/>
          <w:szCs w:val="20"/>
          <w:color w:val="auto"/>
        </w:rPr>
      </w:pPr>
      <w:r>
        <w:rPr>
          <w:rFonts w:ascii="Times New Roman" w:cs="Times New Roman" w:eastAsia="Times New Roman" w:hAnsi="Times New Roman"/>
          <w:sz w:val="18"/>
          <w:szCs w:val="18"/>
          <w:color w:val="auto"/>
        </w:rPr>
        <w:t>The presence, in person virtually or by proxy, of Coeptis stockholders holding a majority of the votes of common stock of Coeptis (including the Series B Preferred Stock of Coeptis on an as converted basis) entitled to vote at a meeting shall be necessary and sufficient to constitute a quorum for the Stockholders Meeting.</w:t>
      </w:r>
    </w:p>
    <w:p>
      <w:pPr>
        <w:spacing w:after="0" w:line="172" w:lineRule="exact"/>
        <w:rPr>
          <w:sz w:val="20"/>
          <w:szCs w:val="20"/>
          <w:color w:val="auto"/>
        </w:rPr>
      </w:pPr>
    </w:p>
    <w:p>
      <w:pPr>
        <w:ind w:left="440" w:right="30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YOU ARE ENCOURAGED TO VOTE AS SOON AS POSSIBLE AFTER CAREFULLY REVIEWING THIS PROXY STATEMENT.</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Q</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What is being voted on at the Stockholders Meeting?</w:t>
      </w:r>
    </w:p>
    <w:p>
      <w:pPr>
        <w:spacing w:after="0" w:line="229"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Stockholders Meeting, the stockholders of Coeptis are being asked to vote on the following Proposals: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Proposal;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 if it is presented at the Stockholders Meeting.</w:t>
      </w: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Q</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Are the Proposals conditioned on one another?</w:t>
      </w:r>
    </w:p>
    <w:p>
      <w:pPr>
        <w:spacing w:after="0" w:line="229" w:lineRule="exact"/>
        <w:rPr>
          <w:sz w:val="20"/>
          <w:szCs w:val="20"/>
          <w:color w:val="auto"/>
        </w:rPr>
      </w:pPr>
    </w:p>
    <w:p>
      <w:pPr>
        <w:ind w:left="440" w:right="480" w:hanging="432"/>
        <w:spacing w:after="0" w:line="266" w:lineRule="auto"/>
        <w:tabs>
          <w:tab w:leader="none" w:pos="4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Proposal and Adjournment Proposal are independent from each other. The Business Combination Proposal and Adjournment Proposal, if presented, must be approved by the Coeptis stockholders holding a majority of the votes of common stock of Coeptis (including the Series B Preferred Stock of Coeptis on an as converted basis) that are entitled to vote at the Stockholders Meeting.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ind w:left="392" w:hanging="392"/>
        <w:spacing w:after="0"/>
        <w:tabs>
          <w:tab w:leader="none" w:pos="392"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is Coeptis proposing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20" w:hanging="432"/>
        <w:spacing w:after="0" w:line="261" w:lineRule="auto"/>
        <w:tabs>
          <w:tab w:leader="none" w:pos="4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Coeptis Board believes that, based on its review and consideration, the Business Combination with Bull Horn presents an opportunity to increase stockholder value, in the past due to the fact that following the consummation of the Business Combination, the Coeptis’ Stockholders would hold equity that is listed on the Nasdaq Capital Market. However, there can be no assurance that the anticipated benefits of the Business Combination will be achieved. Stockholder approval of the Business Combination is required by the Merger Agreement.</w:t>
      </w:r>
    </w:p>
    <w:p>
      <w:pPr>
        <w:spacing w:after="0" w:line="202"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will happen in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20" w:hanging="432"/>
        <w:spacing w:after="0" w:line="255" w:lineRule="auto"/>
        <w:tabs>
          <w:tab w:leader="none" w:pos="3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consists of a series of transactions pursuant to which (i) Bull Horn will complete the Domestication (as defined above) and (ii) Merger Sub will, following the Domestication, merge with and into Coeptis with Coeptis continuing as the surviving entity and a subsidiary of the Company. Upon the completion of the Domestication and the Merger, each issued and outstanding shares of capital stock will become a share of common stock of the Company (based on an exchange ratio that is to be determined at Closing, but which we will project will be one (1) share of Company Common Stock for every 2.99 shares of Coeptis common stock), and each issued and outstanding warrant to purchase shares of Common Stock of Coeptis will become a warrant to purchase shares of common stock of the Company (with the number of shares and related exercise prices to be determine using the same exchange ratio).</w:t>
      </w:r>
    </w:p>
    <w:p>
      <w:pPr>
        <w:spacing w:after="0" w:line="184"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Is Bull Horn currently a Delaware corporation?</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80" w:hanging="432"/>
        <w:spacing w:after="0" w:line="258" w:lineRule="auto"/>
        <w:tabs>
          <w:tab w:leader="none" w:pos="4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Bull Horn is currently a company incorporated under the laws of the British Virgin Islands. One of the proposals that Bull Horn is presenting to its shareholders related to the Domestication, the purpose of which is to domesticate Bull Horn from BVI to the State of Delaware, making it a Delaware corporation. The Domestication will require Bull Horn to file certain documents in both the British Virgin Islands and the State of Delaware. At the effective time of the Domestication, Bull Horn will cease to be a company incorporated under the laws of the British Virgin Islands and in connection with the Business Combination, Bull Horn will continue as a Delaware corporation.</w:t>
      </w:r>
    </w:p>
    <w:p>
      <w:pPr>
        <w:spacing w:after="0" w:line="179"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Coeptis stockholders be subject to the same charter documents following the Business Combination?</w:t>
      </w:r>
    </w:p>
    <w:p>
      <w:pPr>
        <w:spacing w:after="0" w:line="256" w:lineRule="exact"/>
        <w:rPr>
          <w:rFonts w:ascii="Times New Roman" w:cs="Times New Roman" w:eastAsia="Times New Roman" w:hAnsi="Times New Roman"/>
          <w:sz w:val="18"/>
          <w:szCs w:val="18"/>
          <w:b w:val="1"/>
          <w:bCs w:val="1"/>
          <w:i w:val="1"/>
          <w:iCs w:val="1"/>
          <w:color w:val="auto"/>
        </w:rPr>
      </w:pPr>
    </w:p>
    <w:p>
      <w:pPr>
        <w:ind w:left="432" w:hanging="432"/>
        <w:spacing w:after="0" w:line="258" w:lineRule="auto"/>
        <w:tabs>
          <w:tab w:leader="none" w:pos="4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anticipated that the Coeptis charter and bylaws that will be in effect as of the consummation of the Business Combination will be the Amended and Restated Certificate of Incorporation (attached to this proxy statement as </w:t>
      </w:r>
      <w:r>
        <w:rPr>
          <w:rFonts w:ascii="Times New Roman" w:cs="Times New Roman" w:eastAsia="Times New Roman" w:hAnsi="Times New Roman"/>
          <w:sz w:val="18"/>
          <w:szCs w:val="18"/>
          <w:u w:val="single" w:color="auto"/>
          <w:color w:val="0000EE"/>
        </w:rPr>
        <w:t>Annex B</w:t>
      </w:r>
      <w:r>
        <w:rPr>
          <w:rFonts w:ascii="Times New Roman" w:cs="Times New Roman" w:eastAsia="Times New Roman" w:hAnsi="Times New Roman"/>
          <w:sz w:val="18"/>
          <w:szCs w:val="18"/>
          <w:color w:val="auto"/>
        </w:rPr>
        <w:t xml:space="preserve">) and the Bylaws (attached hereto at </w:t>
      </w:r>
      <w:r>
        <w:rPr>
          <w:rFonts w:ascii="Times New Roman" w:cs="Times New Roman" w:eastAsia="Times New Roman" w:hAnsi="Times New Roman"/>
          <w:sz w:val="18"/>
          <w:szCs w:val="18"/>
          <w:u w:val="single" w:color="auto"/>
          <w:color w:val="0000EE"/>
        </w:rPr>
        <w:t>Annex C</w:t>
      </w:r>
      <w:r>
        <w:rPr>
          <w:rFonts w:ascii="Times New Roman" w:cs="Times New Roman" w:eastAsia="Times New Roman" w:hAnsi="Times New Roman"/>
          <w:sz w:val="18"/>
          <w:szCs w:val="18"/>
          <w:color w:val="auto"/>
        </w:rPr>
        <w:t>). See the section entitled “</w:t>
      </w:r>
      <w:r>
        <w:rPr>
          <w:rFonts w:ascii="Times New Roman" w:cs="Times New Roman" w:eastAsia="Times New Roman" w:hAnsi="Times New Roman"/>
          <w:sz w:val="18"/>
          <w:szCs w:val="18"/>
          <w:i w:val="1"/>
          <w:iCs w:val="1"/>
          <w:color w:val="auto"/>
        </w:rPr>
        <w:t>Description of Coeptis’, Bull Horns’ and the Company’s Securities; Comparison of the Rights of Holders of Coeptis Stock and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after the Business Combination</w:t>
      </w:r>
      <w:r>
        <w:rPr>
          <w:rFonts w:ascii="Times New Roman" w:cs="Times New Roman" w:eastAsia="Times New Roman" w:hAnsi="Times New Roman"/>
          <w:sz w:val="18"/>
          <w:szCs w:val="18"/>
          <w:color w:val="auto"/>
        </w:rPr>
        <w:t>” for a summary of the material differences between Coeptis’ current certificate of incorporation and bylaws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Amended and Restated Certificate of Incorporation and Bylaws.</w:t>
      </w:r>
    </w:p>
    <w:p>
      <w:pPr>
        <w:spacing w:after="0" w:line="206"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Company have an equity incentive plan in effect following the Business Combination?</w:t>
      </w:r>
    </w:p>
    <w:p>
      <w:pPr>
        <w:spacing w:after="0" w:line="256" w:lineRule="exact"/>
        <w:rPr>
          <w:rFonts w:ascii="Times New Roman" w:cs="Times New Roman" w:eastAsia="Times New Roman" w:hAnsi="Times New Roman"/>
          <w:sz w:val="18"/>
          <w:szCs w:val="18"/>
          <w:b w:val="1"/>
          <w:bCs w:val="1"/>
          <w:i w:val="1"/>
          <w:iCs w:val="1"/>
          <w:color w:val="auto"/>
        </w:rPr>
      </w:pPr>
    </w:p>
    <w:p>
      <w:pPr>
        <w:ind w:left="432" w:hanging="432"/>
        <w:spacing w:after="0" w:line="258" w:lineRule="auto"/>
        <w:tabs>
          <w:tab w:leader="none" w:pos="4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One of the proposals that the Bull Horn shareholders have been presented with is for the approval of the 2022 Equity Inventive Plan (a copy of which is attached hereto at </w:t>
      </w:r>
      <w:r>
        <w:rPr>
          <w:rFonts w:ascii="Times New Roman" w:cs="Times New Roman" w:eastAsia="Times New Roman" w:hAnsi="Times New Roman"/>
          <w:sz w:val="18"/>
          <w:szCs w:val="18"/>
          <w:u w:val="single" w:color="auto"/>
          <w:color w:val="0000EE"/>
        </w:rPr>
        <w:t>Annex D</w:t>
      </w:r>
      <w:r>
        <w:rPr>
          <w:rFonts w:ascii="Times New Roman" w:cs="Times New Roman" w:eastAsia="Times New Roman" w:hAnsi="Times New Roman"/>
          <w:sz w:val="18"/>
          <w:szCs w:val="18"/>
          <w:color w:val="auto"/>
        </w:rPr>
        <w:t>). Assuming that the 2022 Equity Incentive Plan is properly approved and adopted by the Bull Horn shareholders, it will be in effect at the time of the Business Combination. The purpose of the 2022 Equity Incentive Plan is to enable the Company to offer eligible employees, directors and consultants’ cash and stock-based incentive awards in order to attract, retain and reward these individuals and strengthen the mutuality of interests between them and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22" w:name="page23"/>
    <w:bookmarkEnd w:id="22"/>
    <w:p>
      <w:pPr>
        <w:ind w:left="432" w:hanging="432"/>
        <w:spacing w:after="0"/>
        <w:tabs>
          <w:tab w:leader="none" w:pos="432"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Coeptis directors be the directors of the Company upon consummation of the Business Combination?</w:t>
      </w:r>
    </w:p>
    <w:p>
      <w:pPr>
        <w:spacing w:after="0" w:line="256" w:lineRule="exact"/>
        <w:rPr>
          <w:rFonts w:ascii="Times New Roman" w:cs="Times New Roman" w:eastAsia="Times New Roman" w:hAnsi="Times New Roman"/>
          <w:sz w:val="18"/>
          <w:szCs w:val="18"/>
          <w:b w:val="1"/>
          <w:bCs w:val="1"/>
          <w:i w:val="1"/>
          <w:iCs w:val="1"/>
          <w:color w:val="auto"/>
        </w:rPr>
      </w:pPr>
    </w:p>
    <w:p>
      <w:pPr>
        <w:ind w:left="432" w:right="40" w:hanging="432"/>
        <w:spacing w:after="0" w:line="254" w:lineRule="auto"/>
        <w:tabs>
          <w:tab w:leader="none" w:pos="4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the Merger Agreement, Bull Horn and Coeptis have agreed that the initial Company Board following the completion of the Business Combination will be comprised of seven individuals. David Mehalick, Daniel Yerace, Philippe Deschamps, Christopher Cochran and Gene Salkind, designated by Coeptis, and Christopher Calise and Tara Maria DeSilva, designated by Bull Horn, will serve as directors upon consummation of the Business Combination becoming effective for terms expiring at the Company’s annual meeting in 2023. The election proposal related to this slate of directors has been presented by Bull Horn to its shareholders for approval ahead of the consummation of the Business Combination, and this slate of directors is expected to be seated in connection with the Business Combination. It is noted in this regard that the appointments of these seven directors will take effect under the terms of the Amended and Restated Certificate of Incorporation and the Bylaws of the Company. See “Directors, Officers, Executive Compensation and Corporate Governance of Bull Horn” for biographies related to each of the seven directors.</w:t>
      </w:r>
    </w:p>
    <w:p>
      <w:pPr>
        <w:spacing w:after="0" w:line="214"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interests do the Coeptis officers and directors and have in the Business Combination?</w:t>
      </w:r>
    </w:p>
    <w:p>
      <w:pPr>
        <w:spacing w:after="0" w:line="256" w:lineRule="exact"/>
        <w:rPr>
          <w:rFonts w:ascii="Times New Roman" w:cs="Times New Roman" w:eastAsia="Times New Roman" w:hAnsi="Times New Roman"/>
          <w:sz w:val="18"/>
          <w:szCs w:val="18"/>
          <w:b w:val="1"/>
          <w:bCs w:val="1"/>
          <w:i w:val="1"/>
          <w:iCs w:val="1"/>
          <w:color w:val="auto"/>
        </w:rPr>
      </w:pPr>
    </w:p>
    <w:p>
      <w:pPr>
        <w:ind w:left="432" w:hanging="432"/>
        <w:spacing w:after="0" w:line="253" w:lineRule="auto"/>
        <w:tabs>
          <w:tab w:leader="none" w:pos="4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recommendation of the Coeptis Board to vote in favor of the Business Combination, Coeptis stockholders should be aware that, aside from their interests as stockholders, Coeptis’ directors and officers have interests in the Business Combination that are different from, or in addition to, those of Coeptis’ other stockholders generally. Coeptis’ directors were aware of and considered these interests, among other matters, in evaluating the Business Combination, and in recommending to Coeptis stockholders that they approve the Business Combination. Coeptis stockholders should take these interests into account in deciding whether to approve the Business Combination. These interests include, among other things the fact that Coeptis’ directors own shares of Coeptis common stock and Coeptis preferred stock which were initially acquired for purchase prices below prices originally paid by other Coeptis stockholders. In addition, it is anticipated that David Mehalick and Daniel Yerace will each be a member of the Company’s board of directors following the closing of the Business Combination, and each of Coeptis’ current officers will become officers of the Company following the closing of the Business Combination, and, as such, after the proposed Business Combination is consummated, Mr. Mehalick, Mr. Yerace and the other officers may in the future receive cash fees, stock options or stock awards that the Company Board determines to pay to its directors and officers. These interests may have influenced Coeptis’ directors in making their recommendation that you vote in favor of the approval of the Business Combination.</w:t>
      </w:r>
    </w:p>
    <w:p>
      <w:pPr>
        <w:spacing w:after="0" w:line="18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form of consideration that stockholders of Coeptis will receive in return for the acquisition of Coeptis by Bull Horn?</w:t>
      </w:r>
    </w:p>
    <w:p>
      <w:pPr>
        <w:spacing w:after="0" w:line="229" w:lineRule="exact"/>
        <w:rPr>
          <w:rFonts w:ascii="Times New Roman" w:cs="Times New Roman" w:eastAsia="Times New Roman" w:hAnsi="Times New Roman"/>
          <w:sz w:val="18"/>
          <w:szCs w:val="18"/>
          <w:b w:val="1"/>
          <w:bCs w:val="1"/>
          <w:i w:val="1"/>
          <w:iCs w:val="1"/>
          <w:color w:val="auto"/>
        </w:rPr>
      </w:pPr>
    </w:p>
    <w:p>
      <w:pPr>
        <w:ind w:left="432" w:hanging="432"/>
        <w:spacing w:after="0" w:line="266" w:lineRule="auto"/>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completion of the Merger, stockholders of Coeptis will collectively receive as consideration for their existing Coeptis common stock and Coeptis preferred stock shares of Company Common Stock pursuant to the Merger Agreement. However, the Merger Consideration does not include any value attributable to the Specified Warrants or Permitted Debt (as defined below).</w:t>
      </w:r>
    </w:p>
    <w:p>
      <w:pPr>
        <w:spacing w:after="0" w:line="174" w:lineRule="exact"/>
        <w:rPr>
          <w:sz w:val="20"/>
          <w:szCs w:val="20"/>
          <w:color w:val="auto"/>
        </w:rPr>
      </w:pPr>
    </w:p>
    <w:p>
      <w:pPr>
        <w:ind w:left="432" w:right="100"/>
        <w:spacing w:after="0" w:line="267" w:lineRule="auto"/>
        <w:rPr>
          <w:sz w:val="20"/>
          <w:szCs w:val="20"/>
          <w:color w:val="auto"/>
        </w:rPr>
      </w:pPr>
      <w:r>
        <w:rPr>
          <w:rFonts w:ascii="Times New Roman" w:cs="Times New Roman" w:eastAsia="Times New Roman" w:hAnsi="Times New Roman"/>
          <w:sz w:val="18"/>
          <w:szCs w:val="18"/>
          <w:color w:val="auto"/>
        </w:rPr>
        <w:t>Based on the assumptions set forth under the section entitled “</w:t>
      </w:r>
      <w:r>
        <w:rPr>
          <w:rFonts w:ascii="Times New Roman" w:cs="Times New Roman" w:eastAsia="Times New Roman" w:hAnsi="Times New Roman"/>
          <w:sz w:val="18"/>
          <w:szCs w:val="18"/>
          <w:i w:val="1"/>
          <w:iCs w:val="1"/>
          <w:color w:val="auto"/>
        </w:rPr>
        <w:t>Frequently Used Terms — Share Calculations and Ownership Percentages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total number of post-Merger shares of common stock issuable to the Coeptis stockholders will be approximately 17,123,288, entitling such holders collectively to exchange Coeptis securities for approximately 77% of the Company Common Stock in the aggregate.</w:t>
      </w:r>
    </w:p>
    <w:p>
      <w:pPr>
        <w:spacing w:after="0" w:line="175" w:lineRule="exact"/>
        <w:rPr>
          <w:sz w:val="20"/>
          <w:szCs w:val="20"/>
          <w:color w:val="auto"/>
        </w:rPr>
      </w:pPr>
    </w:p>
    <w:p>
      <w:pPr>
        <w:ind w:left="432" w:right="140"/>
        <w:spacing w:after="0" w:line="282" w:lineRule="auto"/>
        <w:rPr>
          <w:sz w:val="20"/>
          <w:szCs w:val="20"/>
          <w:color w:val="auto"/>
        </w:rPr>
      </w:pPr>
      <w:r>
        <w:rPr>
          <w:rFonts w:ascii="Times New Roman" w:cs="Times New Roman" w:eastAsia="Times New Roman" w:hAnsi="Times New Roman"/>
          <w:sz w:val="18"/>
          <w:szCs w:val="18"/>
          <w:color w:val="auto"/>
        </w:rPr>
        <w:t>Each share of Company Common Stock will provide the holder the rights to vote, receive dividends, and share in distributions in connection with a liquidation and other stockholder rights with respect to the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2"/>
          </w:cols>
          <w:pgMar w:left="328" w:top="819" w:right="399" w:bottom="1440" w:gutter="0" w:footer="0" w:header="0"/>
        </w:sectPr>
      </w:pPr>
    </w:p>
    <w:bookmarkStart w:id="23" w:name="page24"/>
    <w:bookmarkEnd w:id="23"/>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Q</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How much consideration will the holders of securities of Coeptis receive in connection with the acquisition of Coeptis by Bull Horn?</w:t>
      </w:r>
    </w:p>
    <w:p>
      <w:pPr>
        <w:spacing w:after="0" w:line="229" w:lineRule="exact"/>
        <w:rPr>
          <w:sz w:val="20"/>
          <w:szCs w:val="20"/>
          <w:color w:val="auto"/>
        </w:rPr>
      </w:pPr>
    </w:p>
    <w:p>
      <w:pPr>
        <w:ind w:left="440" w:right="60" w:hanging="432"/>
        <w:spacing w:after="0" w:line="253" w:lineRule="auto"/>
        <w:tabs>
          <w:tab w:leader="none" w:pos="4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that will be received by Coeptis security holders from Bull Horn at the Closing will have an aggregate value equal to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(i) $175,000,000, minus (or plus if positive) (ii) the amount of Coeptis’ outstanding indebtedness as of immediately prior to the Closing (excluding Permitted Debt, as described below), net of its cash as of immediately prior to the Closing, minus (iii) the amount of Coeptis’ outstanding unpaid transaction expenses and transaction bonuses as of the Closing. The Merger Consideration will be payable, (a) in the case of Coeptis stockholders, solely in new shares of Bull Horn common stock, with each share of Bull Horn common stock valued at the price per share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at which each Bull Horn share of common stock is redeemed or converted pursuant to the redemption by Bull Horn of its public shareholders in connection with Bull Horn’s initial business combination, as required by its amended and restated memorandum and articles of association and Bull Horn’s initial public offering prospectus (the “</w:t>
      </w:r>
      <w:r>
        <w:rPr>
          <w:rFonts w:ascii="Times New Roman" w:cs="Times New Roman" w:eastAsia="Times New Roman" w:hAnsi="Times New Roman"/>
          <w:sz w:val="18"/>
          <w:szCs w:val="18"/>
          <w:b w:val="1"/>
          <w:bCs w:val="1"/>
          <w:color w:val="auto"/>
        </w:rPr>
        <w:t>Closing Redemption</w:t>
      </w:r>
      <w:r>
        <w:rPr>
          <w:rFonts w:ascii="Times New Roman" w:cs="Times New Roman" w:eastAsia="Times New Roman" w:hAnsi="Times New Roman"/>
          <w:sz w:val="18"/>
          <w:szCs w:val="18"/>
          <w:color w:val="auto"/>
        </w:rPr>
        <w:t>”), and (b) with respect to the holders of the Specified Warrants, by the assumption of such warrants by Bull Horn as Assumed Warrants. The Merger Consideration deliverable to Coeptis stockholders will be allocated pro rata after giving effect to the Preferred Stock Exchange and deducting the value attributable to the Assumed Warrants as if the Specified Warrants that become Assumed Warrants were exercised on a net exercise basis as of immediately prior to the Closing.</w:t>
      </w:r>
    </w:p>
    <w:p>
      <w:pPr>
        <w:spacing w:after="0" w:line="192" w:lineRule="exact"/>
        <w:rPr>
          <w:sz w:val="20"/>
          <w:szCs w:val="20"/>
          <w:color w:val="auto"/>
        </w:rPr>
      </w:pPr>
    </w:p>
    <w:p>
      <w:pPr>
        <w:ind w:left="440" w:right="340"/>
        <w:spacing w:after="0" w:line="261" w:lineRule="auto"/>
        <w:rPr>
          <w:sz w:val="20"/>
          <w:szCs w:val="20"/>
          <w:color w:val="auto"/>
        </w:rPr>
      </w:pPr>
      <w:r>
        <w:rPr>
          <w:rFonts w:ascii="Times New Roman" w:cs="Times New Roman" w:eastAsia="Times New Roman" w:hAnsi="Times New Roman"/>
          <w:sz w:val="18"/>
          <w:szCs w:val="18"/>
          <w:color w:val="auto"/>
        </w:rPr>
        <w:t>The Coeptis Convertible Debt, along with (i) certain other outstanding indebtedness of Coeptis as of the date of the Merger Agreement (which together with the Coeptis Convertible Debt, has aggregate outstanding obligations of approximately $3.9 million as of such date), and (ii) certain other indebtedness that Coeptis is permitted to incur between the signing of the Merger Agreement and the Closing, will not affect the Merger Consideration payable to Coeptis security holders (the Coeptis Convertible Debt and such other indebtedness, “</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section entitled “Proposal 1: The Business Combination Proposal — The Merger Agreement — Merger Consideration.”</w:t>
      </w:r>
    </w:p>
    <w:p>
      <w:pPr>
        <w:spacing w:after="0" w:line="221" w:lineRule="exact"/>
        <w:rPr>
          <w:sz w:val="20"/>
          <w:szCs w:val="20"/>
          <w:color w:val="auto"/>
        </w:rPr>
      </w:pPr>
    </w:p>
    <w:p>
      <w:pPr>
        <w:ind w:left="440" w:right="300" w:hanging="432"/>
        <w:spacing w:after="0" w:line="286" w:lineRule="auto"/>
        <w:tabs>
          <w:tab w:leader="none" w:pos="405"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equity stake will current Coeptis stockholders and Bull Horn shareholders hold in the Company immediately after the completion of the Business Combination?</w:t>
      </w:r>
    </w:p>
    <w:p>
      <w:pPr>
        <w:spacing w:after="0" w:line="158" w:lineRule="exact"/>
        <w:rPr>
          <w:rFonts w:ascii="Times New Roman" w:cs="Times New Roman" w:eastAsia="Times New Roman" w:hAnsi="Times New Roman"/>
          <w:sz w:val="18"/>
          <w:szCs w:val="18"/>
          <w:b w:val="1"/>
          <w:bCs w:val="1"/>
          <w:i w:val="1"/>
          <w:iCs w:val="1"/>
          <w:color w:val="auto"/>
        </w:rPr>
      </w:pPr>
    </w:p>
    <w:p>
      <w:pPr>
        <w:ind w:left="440" w:hanging="432"/>
        <w:spacing w:after="0" w:line="258" w:lineRule="auto"/>
        <w:tabs>
          <w:tab w:leader="none" w:pos="4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the Business Combination (assuming, among other things, that no Bull Horn shareholders exercise redemption rights with respect to their ordinary shares upon completion of the Business Combination and the other assumptions described under the section entitled “</w:t>
      </w:r>
      <w:r>
        <w:rPr>
          <w:rFonts w:ascii="Times New Roman" w:cs="Times New Roman" w:eastAsia="Times New Roman" w:hAnsi="Times New Roman"/>
          <w:sz w:val="18"/>
          <w:szCs w:val="18"/>
          <w:i w:val="1"/>
          <w:iCs w:val="1"/>
          <w:color w:val="auto"/>
        </w:rPr>
        <w:t>Frequently Used Terms — Share Calculations and Ownership Percentages</w:t>
      </w:r>
      <w:r>
        <w:rPr>
          <w:rFonts w:ascii="Times New Roman" w:cs="Times New Roman" w:eastAsia="Times New Roman" w:hAnsi="Times New Roman"/>
          <w:sz w:val="18"/>
          <w:szCs w:val="18"/>
          <w:color w:val="auto"/>
        </w:rPr>
        <w:t>”), the holders of securities of Coeptis are expected to own approximately 77% of the Company’s outstanding common stock and the holders of Bull Horn Shares are expected to own approximately 23% of the Company’s outstanding common stock.</w:t>
      </w:r>
    </w:p>
    <w:p>
      <w:pPr>
        <w:spacing w:after="0" w:line="183" w:lineRule="exact"/>
        <w:rPr>
          <w:sz w:val="20"/>
          <w:szCs w:val="20"/>
          <w:color w:val="auto"/>
        </w:rPr>
      </w:pPr>
    </w:p>
    <w:p>
      <w:pPr>
        <w:jc w:val="both"/>
        <w:ind w:left="440" w:right="100"/>
        <w:spacing w:after="0" w:line="266" w:lineRule="auto"/>
        <w:rPr>
          <w:sz w:val="20"/>
          <w:szCs w:val="20"/>
          <w:color w:val="auto"/>
        </w:rPr>
      </w:pPr>
      <w:r>
        <w:rPr>
          <w:rFonts w:ascii="Times New Roman" w:cs="Times New Roman" w:eastAsia="Times New Roman" w:hAnsi="Times New Roman"/>
          <w:sz w:val="18"/>
          <w:szCs w:val="18"/>
          <w:color w:val="auto"/>
        </w:rPr>
        <w:t>If any of Bull Horn’s shareholders exercise their redemption rights, the percentage of the Company’s outstanding common stock held by the holders of Bull Horn Shares will decrease and the percentages of the Company’s outstanding common stock held by the holders of securities of Coeptis will increase, in each case relative to the percentage held if none of the Bull Horn Shares are redeemed.</w:t>
      </w:r>
    </w:p>
    <w:p>
      <w:pPr>
        <w:spacing w:after="0" w:line="176" w:lineRule="exact"/>
        <w:rPr>
          <w:sz w:val="20"/>
          <w:szCs w:val="20"/>
          <w:color w:val="auto"/>
        </w:rPr>
      </w:pPr>
    </w:p>
    <w:p>
      <w:pPr>
        <w:ind w:left="440" w:right="320"/>
        <w:spacing w:after="0" w:line="282" w:lineRule="auto"/>
        <w:rPr>
          <w:sz w:val="20"/>
          <w:szCs w:val="20"/>
          <w:color w:val="auto"/>
        </w:rPr>
      </w:pPr>
      <w:r>
        <w:rPr>
          <w:rFonts w:ascii="Times New Roman" w:cs="Times New Roman" w:eastAsia="Times New Roman" w:hAnsi="Times New Roman"/>
          <w:sz w:val="18"/>
          <w:szCs w:val="18"/>
          <w:color w:val="auto"/>
        </w:rPr>
        <w:t>All of the relative percentages above are for illustrative purposes only and are based upon certain assumptions as described in the section entitled “</w:t>
      </w:r>
      <w:r>
        <w:rPr>
          <w:rFonts w:ascii="Times New Roman" w:cs="Times New Roman" w:eastAsia="Times New Roman" w:hAnsi="Times New Roman"/>
          <w:sz w:val="18"/>
          <w:szCs w:val="18"/>
          <w:i w:val="1"/>
          <w:iCs w:val="1"/>
          <w:color w:val="auto"/>
        </w:rPr>
        <w:t>Frequently Used Terms — Share Calculations and Ownership Percentages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right="300"/>
        <w:spacing w:after="0" w:line="282" w:lineRule="auto"/>
        <w:rPr>
          <w:sz w:val="20"/>
          <w:szCs w:val="20"/>
          <w:color w:val="auto"/>
        </w:rPr>
      </w:pPr>
      <w:r>
        <w:rPr>
          <w:rFonts w:ascii="Times New Roman" w:cs="Times New Roman" w:eastAsia="Times New Roman" w:hAnsi="Times New Roman"/>
          <w:sz w:val="18"/>
          <w:szCs w:val="18"/>
          <w:color w:val="auto"/>
        </w:rPr>
        <w:t>Should one or more of the assumptions prove incorrect, actual beneficial ownership percentages may vary materially from those described in this proxy statement as anticipated, believed, estimated, expected or intended.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t>The following table illustrates varying ownership levels of the Company immediately following the Business Combination: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68"/>
              <w:spacing w:after="0" w:line="147" w:lineRule="exact"/>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68"/>
              <w:spacing w:after="0" w:line="147" w:lineRule="exact"/>
              <w:rPr>
                <w:sz w:val="20"/>
                <w:szCs w:val="20"/>
                <w:color w:val="auto"/>
              </w:rPr>
            </w:pPr>
            <w:r>
              <w:rPr>
                <w:rFonts w:ascii="Times New Roman" w:cs="Times New Roman" w:eastAsia="Times New Roman" w:hAnsi="Times New Roman"/>
                <w:sz w:val="14"/>
                <w:szCs w:val="14"/>
                <w:b w:val="1"/>
                <w:bCs w:val="1"/>
                <w:color w:val="auto"/>
              </w:rPr>
              <w:t>25%</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48"/>
              <w:spacing w:after="0" w:line="147" w:lineRule="exact"/>
              <w:rPr>
                <w:sz w:val="20"/>
                <w:szCs w:val="20"/>
                <w:color w:val="auto"/>
              </w:rPr>
            </w:pPr>
            <w:r>
              <w:rPr>
                <w:rFonts w:ascii="Times New Roman" w:cs="Times New Roman" w:eastAsia="Times New Roman" w:hAnsi="Times New Roman"/>
                <w:sz w:val="14"/>
                <w:szCs w:val="14"/>
                <w:b w:val="1"/>
                <w:bCs w:val="1"/>
                <w:color w:val="auto"/>
              </w:rPr>
              <w:t>50%</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204"/>
        </w:trPr>
        <w:tc>
          <w:tcPr>
            <w:tcW w:w="2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180"/>
              <w:spacing w:after="0" w:line="203" w:lineRule="exact"/>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23"/>
                <w:szCs w:val="23"/>
                <w:b w:val="1"/>
                <w:bCs w:val="1"/>
                <w:color w:val="auto"/>
                <w:vertAlign w:val="superscript"/>
              </w:rPr>
              <w:t>(1)</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80"/>
              <w:spacing w:after="0" w:line="203" w:lineRule="exact"/>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180"/>
              <w:spacing w:after="0" w:line="203" w:lineRule="exact"/>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23"/>
                <w:szCs w:val="23"/>
                <w:b w:val="1"/>
                <w:bCs w:val="1"/>
                <w:color w:val="auto"/>
                <w:vertAlign w:val="superscript"/>
              </w:rPr>
              <w:t>(1)</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00"/>
              <w:spacing w:after="0" w:line="203" w:lineRule="exact"/>
              <w:rPr>
                <w:sz w:val="20"/>
                <w:szCs w:val="20"/>
                <w:color w:val="auto"/>
              </w:rPr>
            </w:pPr>
            <w:r>
              <w:rPr>
                <w:rFonts w:ascii="Times New Roman" w:cs="Times New Roman" w:eastAsia="Times New Roman" w:hAnsi="Times New Roman"/>
                <w:sz w:val="14"/>
                <w:szCs w:val="14"/>
                <w:b w:val="1"/>
                <w:bCs w:val="1"/>
                <w:color w:val="auto"/>
                <w:w w:val="97"/>
              </w:rPr>
              <w:t>Redemptions</w:t>
            </w:r>
            <w:r>
              <w:rPr>
                <w:rFonts w:ascii="Times New Roman" w:cs="Times New Roman" w:eastAsia="Times New Roman" w:hAnsi="Times New Roman"/>
                <w:sz w:val="23"/>
                <w:szCs w:val="23"/>
                <w:b w:val="1"/>
                <w:bCs w:val="1"/>
                <w:color w:val="auto"/>
                <w:w w:val="97"/>
                <w:vertAlign w:val="superscript"/>
              </w:rPr>
              <w:t>(1)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100"/>
              <w:spacing w:after="0" w:line="203" w:lineRule="exact"/>
              <w:rPr>
                <w:sz w:val="20"/>
                <w:szCs w:val="20"/>
                <w:color w:val="auto"/>
              </w:rPr>
            </w:pPr>
            <w:r>
              <w:rPr>
                <w:rFonts w:ascii="Times New Roman" w:cs="Times New Roman" w:eastAsia="Times New Roman" w:hAnsi="Times New Roman"/>
                <w:sz w:val="14"/>
                <w:szCs w:val="14"/>
                <w:b w:val="1"/>
                <w:bCs w:val="1"/>
                <w:color w:val="auto"/>
                <w:w w:val="99"/>
              </w:rPr>
              <w:t>Redemptions</w:t>
            </w:r>
            <w:r>
              <w:rPr>
                <w:rFonts w:ascii="Times New Roman" w:cs="Times New Roman" w:eastAsia="Times New Roman" w:hAnsi="Times New Roman"/>
                <w:sz w:val="23"/>
                <w:szCs w:val="23"/>
                <w:b w:val="1"/>
                <w:bCs w:val="1"/>
                <w:color w:val="auto"/>
                <w:w w:val="99"/>
                <w:vertAlign w:val="superscript"/>
              </w:rPr>
              <w:t>(1)</w:t>
            </w: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142"/>
        </w:trPr>
        <w:tc>
          <w:tcPr>
            <w:tcW w:w="2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Coeptis stockholders</w:t>
            </w:r>
          </w:p>
        </w:tc>
        <w:tc>
          <w:tcPr>
            <w:tcW w:w="12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17,123,288</w:t>
            </w:r>
          </w:p>
        </w:tc>
        <w:tc>
          <w:tcPr>
            <w:tcW w:w="60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76.99%</w:t>
            </w:r>
          </w:p>
        </w:tc>
        <w:tc>
          <w:tcPr>
            <w:tcW w:w="12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17,123,288</w:t>
            </w:r>
          </w:p>
        </w:tc>
        <w:tc>
          <w:tcPr>
            <w:tcW w:w="58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97"/>
              </w:rPr>
              <w:t>78.13%</w:t>
            </w:r>
          </w:p>
        </w:tc>
        <w:tc>
          <w:tcPr>
            <w:tcW w:w="12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17,123,288</w:t>
            </w:r>
          </w:p>
        </w:tc>
        <w:tc>
          <w:tcPr>
            <w:tcW w:w="58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79.91%</w:t>
            </w:r>
          </w:p>
        </w:tc>
        <w:tc>
          <w:tcPr>
            <w:tcW w:w="12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17,123,288</w:t>
            </w:r>
          </w:p>
        </w:tc>
        <w:tc>
          <w:tcPr>
            <w:tcW w:w="58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97"/>
              </w:rPr>
              <w:t>83.05%</w:t>
            </w:r>
          </w:p>
        </w:tc>
        <w:tc>
          <w:tcPr>
            <w:tcW w:w="12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17,123,288</w:t>
            </w:r>
          </w:p>
        </w:tc>
        <w:tc>
          <w:tcPr>
            <w:tcW w:w="60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87.20%</w:t>
            </w:r>
          </w:p>
        </w:tc>
      </w:tr>
      <w:tr>
        <w:trPr>
          <w:trHeight w:val="148"/>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Bull Horn public shareholders</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3,241,414</w:t>
            </w:r>
          </w:p>
        </w:tc>
        <w:tc>
          <w:tcPr>
            <w:tcW w:w="6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14.58%</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2,917,273</w:t>
            </w:r>
          </w:p>
        </w:tc>
        <w:tc>
          <w:tcPr>
            <w:tcW w:w="5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97"/>
              </w:rPr>
              <w:t>13.31%</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2,431,061</w:t>
            </w:r>
          </w:p>
        </w:tc>
        <w:tc>
          <w:tcPr>
            <w:tcW w:w="5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1,620,707</w:t>
            </w:r>
          </w:p>
        </w:tc>
        <w:tc>
          <w:tcPr>
            <w:tcW w:w="5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643,389</w:t>
            </w:r>
          </w:p>
        </w:tc>
        <w:tc>
          <w:tcPr>
            <w:tcW w:w="6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3.30%</w:t>
            </w:r>
          </w:p>
        </w:tc>
      </w:tr>
      <w:tr>
        <w:trPr>
          <w:trHeight w:val="148"/>
        </w:trPr>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Sponsor founder shares</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6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5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5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12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5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6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9.50%</w:t>
            </w:r>
          </w:p>
        </w:tc>
      </w:tr>
      <w:tr>
        <w:trPr>
          <w:trHeight w:val="142"/>
        </w:trPr>
        <w:tc>
          <w:tcPr>
            <w:tcW w:w="21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Shares of Common Stock</w:t>
            </w: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22,239,702</w:t>
            </w:r>
          </w:p>
        </w:tc>
        <w:tc>
          <w:tcPr>
            <w:tcW w:w="10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2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21,915,561</w:t>
            </w:r>
          </w:p>
        </w:tc>
        <w:tc>
          <w:tcPr>
            <w:tcW w:w="10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2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21,429,349</w:t>
            </w:r>
          </w:p>
        </w:tc>
        <w:tc>
          <w:tcPr>
            <w:tcW w:w="10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2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20,618,995</w:t>
            </w:r>
          </w:p>
        </w:tc>
        <w:tc>
          <w:tcPr>
            <w:tcW w:w="12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2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19,641,677</w:t>
            </w:r>
          </w:p>
        </w:tc>
        <w:tc>
          <w:tcPr>
            <w:tcW w:w="1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r>
      <w:tr>
        <w:trPr>
          <w:trHeight w:val="20"/>
        </w:trPr>
        <w:tc>
          <w:tcPr>
            <w:tcW w:w="2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right="120" w:hanging="432"/>
        <w:spacing w:after="0" w:line="261" w:lineRule="auto"/>
        <w:tabs>
          <w:tab w:leader="none" w:pos="4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ownership based on assumed actual shares issued and outstanding at the Closing of the Business Combination. All percentages will be diluted if any post-Closing warrants (including 7,500,000 Public Warrants, 3,750,000 Private Placement Warrants and the assumed 1,552,676 shares underlying Coeptis warrants) or convertible debt is exercised for or converted into Company Common Stock post-Closing (including the assumed 100,334 shares issuable upon conversion of the convertible debt that is included in the Permitted Debt).</w:t>
      </w:r>
    </w:p>
    <w:p>
      <w:pPr>
        <w:spacing w:after="0" w:line="180"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color w:val="auto"/>
        </w:rPr>
        <w:t>Notwithstanding the number of redemptions, the deferred underwriting commissions of $500,000 in connection with the IPO will remain constant and be released to the underwriters only on completion of the Business Combination. Accordingly, the deferred underwriting commissions will equal 1.5% of the cash remaining in the trust account if there are no redemptions, 1.7% if 10% redemptions, 2.0% if 25% redemptions, 3.0% if 50% redemptions, and 7.6% if maximum redemptions.</w:t>
      </w:r>
    </w:p>
    <w:p>
      <w:pPr>
        <w:spacing w:after="0" w:line="180" w:lineRule="exact"/>
        <w:rPr>
          <w:sz w:val="20"/>
          <w:szCs w:val="20"/>
          <w:color w:val="auto"/>
        </w:rPr>
      </w:pPr>
    </w:p>
    <w:p>
      <w:pPr>
        <w:ind w:left="440" w:right="500"/>
        <w:spacing w:after="0" w:line="261" w:lineRule="auto"/>
        <w:rPr>
          <w:sz w:val="20"/>
          <w:szCs w:val="20"/>
          <w:color w:val="auto"/>
        </w:rPr>
      </w:pPr>
      <w:r>
        <w:rPr>
          <w:rFonts w:ascii="Times New Roman" w:cs="Times New Roman" w:eastAsia="Times New Roman" w:hAnsi="Times New Roman"/>
          <w:sz w:val="18"/>
          <w:szCs w:val="18"/>
          <w:color w:val="auto"/>
        </w:rPr>
        <w:t xml:space="preserve">For additional information regarding assumptions incorporated into the information presented above, including, without limitation, “Maximum Redemptions,” see the sections titled </w:t>
      </w:r>
      <w:r>
        <w:rPr>
          <w:rFonts w:ascii="Times New Roman" w:cs="Times New Roman" w:eastAsia="Times New Roman" w:hAnsi="Times New Roman"/>
          <w:sz w:val="18"/>
          <w:szCs w:val="18"/>
          <w:i w:val="1"/>
          <w:iCs w:val="1"/>
          <w:color w:val="auto"/>
        </w:rPr>
        <w:t>“Frequently Used Terms — Share Calculations and Ownership Percentages,” “Unaudited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Condensed Combined Financial Information”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“Proposal 1: The Business Combination Proposal — The Merger Agreement — Merger Consideration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right="840" w:hanging="432"/>
        <w:spacing w:after="0" w:line="286" w:lineRule="auto"/>
        <w:tabs>
          <w:tab w:leader="none" w:pos="408"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Did the Bull Horn Board obtain a third-party valuation or fairness opinion in determining whether or not to proceed with the Business Combination?</w:t>
      </w:r>
    </w:p>
    <w:p>
      <w:pPr>
        <w:spacing w:after="0" w:line="158" w:lineRule="exact"/>
        <w:rPr>
          <w:rFonts w:ascii="Times New Roman" w:cs="Times New Roman" w:eastAsia="Times New Roman" w:hAnsi="Times New Roman"/>
          <w:sz w:val="18"/>
          <w:szCs w:val="18"/>
          <w:b w:val="1"/>
          <w:bCs w:val="1"/>
          <w:i w:val="1"/>
          <w:iCs w:val="1"/>
          <w:color w:val="auto"/>
        </w:rPr>
      </w:pPr>
    </w:p>
    <w:p>
      <w:pPr>
        <w:ind w:left="440" w:right="800" w:hanging="432"/>
        <w:spacing w:after="0" w:line="282" w:lineRule="auto"/>
        <w:tabs>
          <w:tab w:leader="none" w:pos="40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Bull Horn Board obtained a fairness opinion from Vantage Point. Coeptis reviewed this fairness opinion from Vantage Point when determining whether to proceed with the Business Combination.</w:t>
      </w:r>
    </w:p>
    <w:p>
      <w:pPr>
        <w:spacing w:after="0" w:line="15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Company retain all of the funds in the trust account after completion of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ind w:left="440" w:right="20" w:hanging="432"/>
        <w:spacing w:after="0" w:line="256" w:lineRule="auto"/>
        <w:tabs>
          <w:tab w:leader="none" w:pos="39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completion of the Business Combination, the funds in the trust account will be used to pay holders of the public shares who exercise redemption rights and, after paying the Redemptions, a portion will be used to pay, as well as to pay transaction expenses incurred in connection with the Business Combination, including deferred IPO underwriting fees to Bull Horn’s underwriter fees and expenses of both Bull Horn and Coeptis related to the Business Combination and for working capital of the Company and its subsidiaries and general corporate purposes of the Company and its subsidiaries. Any remaining funds will be disbursed to the Company for its use. As of June 30, 2022, there were cash and marketable securities held in the trust account of approximately $33.0 million.</w:t>
      </w:r>
    </w:p>
    <w:p>
      <w:pPr>
        <w:spacing w:after="0" w:line="183" w:lineRule="exact"/>
        <w:rPr>
          <w:rFonts w:ascii="Times New Roman" w:cs="Times New Roman" w:eastAsia="Times New Roman" w:hAnsi="Times New Roman"/>
          <w:sz w:val="18"/>
          <w:szCs w:val="18"/>
          <w:color w:val="auto"/>
        </w:rPr>
      </w:pPr>
    </w:p>
    <w:p>
      <w:pPr>
        <w:ind w:left="440" w:right="240" w:hanging="432"/>
        <w:spacing w:after="0" w:line="286" w:lineRule="auto"/>
        <w:tabs>
          <w:tab w:leader="none" w:pos="405"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a substantial number of public shareholders of Bull Horn vote in favor of the Merger Proposal and exercise their Redemption Rights?</w:t>
      </w:r>
    </w:p>
    <w:p>
      <w:pPr>
        <w:spacing w:after="0" w:line="158" w:lineRule="exact"/>
        <w:rPr>
          <w:rFonts w:ascii="Times New Roman" w:cs="Times New Roman" w:eastAsia="Times New Roman" w:hAnsi="Times New Roman"/>
          <w:sz w:val="18"/>
          <w:szCs w:val="18"/>
          <w:b w:val="1"/>
          <w:bCs w:val="1"/>
          <w:i w:val="1"/>
          <w:iCs w:val="1"/>
          <w:color w:val="auto"/>
        </w:rPr>
      </w:pPr>
    </w:p>
    <w:p>
      <w:pPr>
        <w:ind w:left="440" w:right="20" w:hanging="432"/>
        <w:spacing w:after="0" w:line="255" w:lineRule="auto"/>
        <w:tabs>
          <w:tab w:leader="none" w:pos="4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may be completed even though the funds available from the trust account and the number of public shareholders is substantially reduced as a result of redemptions by public shareholders. If the Business Combination is completed notwithstanding redemptions, the Company will have fewer public shares and public shareholders, the trading market for the Company’s securities may be less liquid and the Company may not be able to meet the minimum listing standards for a national securities exchange. Furthermore, the funds available from the trust account for working capital purposes of the Company after the Business Combination may not be sufficient for its future operations and may not allow the Company to reduce Coeptis’ indebtedness and/or pursue its strategy for growth. While there is no minimum cash on hand requirement, as a closing condition in the Merger Agreement, Bull Horn must have at least $5,000,001 in net tangible assets as of immediately prior to the Closing.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ind w:left="392" w:hanging="392"/>
        <w:spacing w:after="0"/>
        <w:tabs>
          <w:tab w:leader="none" w:pos="392"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conditions must be satisfied to complete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ind w:left="432" w:hanging="432"/>
        <w:spacing w:after="0" w:line="261" w:lineRule="auto"/>
        <w:tabs>
          <w:tab w:leader="none" w:pos="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the parties to the Merger Agreement, and subject to applicable law, the consummation of the Business Combination is subject to a number of conditions set forth in the Merger Agreement including, among others, receipt of the requisite Coeptis stockholder approvals contemplated by this proxy statement. For a summary of the conditions that must be satisfied or waived prior to completion of the Business Combination, see the section entitled “</w:t>
      </w:r>
      <w:r>
        <w:rPr>
          <w:rFonts w:ascii="Times New Roman" w:cs="Times New Roman" w:eastAsia="Times New Roman" w:hAnsi="Times New Roman"/>
          <w:sz w:val="18"/>
          <w:szCs w:val="18"/>
          <w:i w:val="1"/>
          <w:iCs w:val="1"/>
          <w:color w:val="auto"/>
        </w:rPr>
        <w:t>Proposal 1: The Business Combination Proposal — The Merger Agreement — Closing Conditions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is Coeptis proposing the Adjournment Proposal?</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160" w:hanging="432"/>
        <w:spacing w:after="0" w:line="266" w:lineRule="auto"/>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is proposing the Adjournment Proposal to allow the adjournment of the Stockholders Meeting to a later date or dates, including if necessary to permit further solicitation and vote of proxies if it is determined Coeptis that more time is necessary or appropriate to approve the Business Combination Proposal at the Stockholders Meeting.</w:t>
      </w:r>
    </w:p>
    <w:p>
      <w:pPr>
        <w:spacing w:after="0" w:line="171"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do you expect the Business Combination to be completed?</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100" w:hanging="432"/>
        <w:spacing w:after="0" w:line="258" w:lineRule="auto"/>
        <w:tabs>
          <w:tab w:leader="none" w:pos="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currently expected that the Business Combination will be completed in the fourth quarter of 2022. This timing depends, among other things, on the approval of the Business Combination Proposal to be presented at the Stockholders Meeting, and the approval, by the Bull Horn Shareholders of several co-dependent proposals that Bull Horn is presenting to its shareholders. However, such meeting could be adjourned if the Adjournment Proposal is adopted at the Stockholders Meeting and Coeptis elects to adjourn the Stockholders Meeting to a later date or dates to permit further solicitation and vote of proxies if reasonably determined to be necessary or desirable by Coeptis.</w:t>
      </w:r>
    </w:p>
    <w:p>
      <w:pPr>
        <w:spacing w:after="0" w:line="17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Bull Horn enter into any financing arrangements in connection with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ind w:left="392" w:hanging="392"/>
        <w:spacing w:after="0"/>
        <w:tabs>
          <w:tab w:leader="none" w:pos="3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Bull Horn does not currently expect to enter into any financing arrangements in connection with the Business Combination.</w:t>
      </w:r>
    </w:p>
    <w:p>
      <w:pPr>
        <w:spacing w:after="0" w:line="221"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and where will the Stockholders Meeting be held?</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260" w:hanging="432"/>
        <w:spacing w:after="0" w:line="261" w:lineRule="auto"/>
        <w:tabs>
          <w:tab w:leader="none" w:pos="39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Meeting will be held at 10:00 a.m. Eastern Time, on October 26, 2022, as a virtual meeting. Only stockholders who held voting securities of Coeptis at the close of business on September 16, 2022 will be entitled to attend and vote at the Stockholders Meeting and at any adjournments and postponements thereof. You will be able to attend, vote your shares, and submit questions during the meeting via a live webcast available www.virtualshareholdermeeting.com/COEP2022SM.</w:t>
      </w:r>
    </w:p>
    <w:p>
      <w:pPr>
        <w:spacing w:after="0" w:line="17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is entitled to vote at the Stockholders Meeting?</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160" w:hanging="432"/>
        <w:spacing w:after="0" w:line="261" w:lineRule="auto"/>
        <w:tabs>
          <w:tab w:leader="none" w:pos="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has fixed September 16, 2022 as the Record Date for determining the Coeptis stockholders entitled to notice of and to attend and vote at the Stockholders Meeting. As of the close of business on such date, there were 51,207,163 shares of common stock of Coeptis (including the Series B Preferred Stock on an as converted basis) outstanding and entitled to vote. Each share of common stock is entitled to one vote per share at the Stockholders Meeting.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792" w:right="359" w:bottom="1440" w:gutter="0" w:footer="0" w:header="0"/>
        </w:sectPr>
      </w:pPr>
    </w:p>
    <w:bookmarkStart w:id="26" w:name="page27"/>
    <w:bookmarkEnd w:id="26"/>
    <w:p>
      <w:pPr>
        <w:ind w:left="392" w:hanging="392"/>
        <w:spacing w:after="0"/>
        <w:tabs>
          <w:tab w:leader="none" w:pos="392"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vote?</w:t>
      </w:r>
    </w:p>
    <w:p>
      <w:pPr>
        <w:spacing w:after="0" w:line="229" w:lineRule="exact"/>
        <w:rPr>
          <w:rFonts w:ascii="Times New Roman" w:cs="Times New Roman" w:eastAsia="Times New Roman" w:hAnsi="Times New Roman"/>
          <w:sz w:val="18"/>
          <w:szCs w:val="18"/>
          <w:b w:val="1"/>
          <w:bCs w:val="1"/>
          <w:i w:val="1"/>
          <w:iCs w:val="1"/>
          <w:color w:val="auto"/>
        </w:rPr>
      </w:pPr>
    </w:p>
    <w:p>
      <w:pPr>
        <w:ind w:left="392" w:hanging="392"/>
        <w:spacing w:after="0"/>
        <w:tabs>
          <w:tab w:leader="none" w:pos="39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owner of your shares, there are two ways to vote your shares of Coeptis stock at the Stockholders Meeting:</w:t>
      </w:r>
    </w:p>
    <w:p>
      <w:pPr>
        <w:spacing w:after="0" w:line="223" w:lineRule="exact"/>
        <w:rPr>
          <w:sz w:val="20"/>
          <w:szCs w:val="20"/>
          <w:color w:val="auto"/>
        </w:rPr>
      </w:pPr>
    </w:p>
    <w:p>
      <w:pPr>
        <w:ind w:left="432"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You Can Vote By Signing and Returning the Enclosed Proxy Card. </w:t>
      </w:r>
      <w:r>
        <w:rPr>
          <w:rFonts w:ascii="Times New Roman" w:cs="Times New Roman" w:eastAsia="Times New Roman" w:hAnsi="Times New Roman"/>
          <w:sz w:val="18"/>
          <w:szCs w:val="18"/>
          <w:color w:val="auto"/>
        </w:rPr>
        <w:t>If you vote by proxy card, your “proxy,” whose name is listed on the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vote your shares as you instruct on the proxy card. If you sign and return the proxy card but do not give instructions on how to vote your shares, your shares will be voted as recommended by the Coeptis Board “FOR” the Business Combination and the Adjournment Proposal. Votes received after a matter has been voted upon at the Stockholders Meeting will not be counted.</w:t>
      </w:r>
    </w:p>
    <w:p>
      <w:pPr>
        <w:spacing w:after="0" w:line="180" w:lineRule="exact"/>
        <w:rPr>
          <w:sz w:val="20"/>
          <w:szCs w:val="20"/>
          <w:color w:val="auto"/>
        </w:rPr>
      </w:pPr>
    </w:p>
    <w:p>
      <w:pPr>
        <w:ind w:left="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You Can Attend the Stockholders Meeting and Vote in Person virtually. </w:t>
      </w:r>
      <w:r>
        <w:rPr>
          <w:rFonts w:ascii="Times New Roman" w:cs="Times New Roman" w:eastAsia="Times New Roman" w:hAnsi="Times New Roman"/>
          <w:sz w:val="18"/>
          <w:szCs w:val="18"/>
          <w:color w:val="auto"/>
        </w:rPr>
        <w:t>You can attend by logging into the website meeting portal with your 16 digit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number. Once logged in you will be able to ask a question and or vote.</w:t>
      </w:r>
    </w:p>
    <w:p>
      <w:pPr>
        <w:spacing w:after="0" w:line="160" w:lineRule="exact"/>
        <w:rPr>
          <w:sz w:val="20"/>
          <w:szCs w:val="20"/>
          <w:color w:val="auto"/>
        </w:rPr>
      </w:pPr>
    </w:p>
    <w:p>
      <w:pPr>
        <w:ind w:left="432" w:right="40"/>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to ensure that votes related to the shares you beneficially own are properly counted. If you wish to attend the Stockholders Meeting virtually and vote in person virtually and your shares are held in “street name,” you must obtain a legal proxy from your broker, bank or nominee. That is the only way Coeptis can be sure that the broker, bank or nominee has not already voted your shares.</w:t>
      </w:r>
    </w:p>
    <w:p>
      <w:pPr>
        <w:spacing w:after="0" w:line="176" w:lineRule="exact"/>
        <w:rPr>
          <w:sz w:val="20"/>
          <w:szCs w:val="20"/>
          <w:color w:val="auto"/>
        </w:rPr>
      </w:pPr>
    </w:p>
    <w:p>
      <w:pPr>
        <w:ind w:left="392" w:hanging="392"/>
        <w:spacing w:after="0"/>
        <w:tabs>
          <w:tab w:leader="none" w:pos="392"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if I do not vote my Coeptis Shares or if I abstain from voting?</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100" w:hanging="432"/>
        <w:spacing w:after="0" w:line="258" w:lineRule="auto"/>
        <w:tabs>
          <w:tab w:leader="none" w:pos="39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Business Combination Proposal requires the affirmative vote of a majority of the votes entitled to be cast by all holders of shares of Coeptis’ common stock (including our common stock underlying the Series B Convertible Preferred Stock) that are present in person or represented by proxy as of the Record Date. Abstentions and broker non-votes, while considered present for the purposes of establishing a quorum, are not treated as votes cast. As a result, if you abstain from voting on the Proposals, your Coeptis Shares will be counted as present for purposes of establishing a quorum, but will not be counted as votes cast.</w:t>
      </w:r>
    </w:p>
    <w:p>
      <w:pPr>
        <w:spacing w:after="0" w:line="17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Proposals must be passed in order for the Business Combination to be completed?</w:t>
      </w:r>
    </w:p>
    <w:p>
      <w:pPr>
        <w:spacing w:after="0" w:line="229" w:lineRule="exact"/>
        <w:rPr>
          <w:rFonts w:ascii="Times New Roman" w:cs="Times New Roman" w:eastAsia="Times New Roman" w:hAnsi="Times New Roman"/>
          <w:sz w:val="18"/>
          <w:szCs w:val="18"/>
          <w:b w:val="1"/>
          <w:bCs w:val="1"/>
          <w:i w:val="1"/>
          <w:iCs w:val="1"/>
          <w:color w:val="auto"/>
        </w:rPr>
      </w:pPr>
    </w:p>
    <w:p>
      <w:pPr>
        <w:ind w:left="432" w:hanging="432"/>
        <w:spacing w:after="0" w:line="277" w:lineRule="auto"/>
        <w:tabs>
          <w:tab w:leader="none" w:pos="39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Combination will not be completed unless (i) approved by the holders of a majority the votes entitled to be cast by all holders of shares of Coeptis common stock (including our Common Stock underlying the Series B Convertible Preferred Stock) and (ii) the proposals submitted by Bull Horn to its shareholders are approved by the holders of a majority of the votes entitled to be cast by the holders of all of the ordinary shares of Bull Horn. In addition, if the Business Combination is not completed by November 3, 2022, Bull Horn will be required to dissolve and liquidate itself and return the monies held within its trust account to its public shareholders unless Bull Horn submits and its shareholders approve an extension.</w:t>
      </w:r>
    </w:p>
    <w:p>
      <w:pPr>
        <w:spacing w:after="0" w:line="163" w:lineRule="exact"/>
        <w:rPr>
          <w:rFonts w:ascii="Times New Roman" w:cs="Times New Roman" w:eastAsia="Times New Roman" w:hAnsi="Times New Roman"/>
          <w:sz w:val="17"/>
          <w:szCs w:val="17"/>
          <w:color w:val="auto"/>
        </w:rPr>
      </w:pPr>
    </w:p>
    <w:p>
      <w:pPr>
        <w:ind w:left="392" w:hanging="392"/>
        <w:spacing w:after="0"/>
        <w:tabs>
          <w:tab w:leader="none" w:pos="392" w:val="left"/>
        </w:tabs>
        <w:numPr>
          <w:ilvl w:val="0"/>
          <w:numId w:val="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does the Coeptis Board recommend that I vote on the Proposals?</w:t>
      </w:r>
    </w:p>
    <w:p>
      <w:pPr>
        <w:spacing w:after="0" w:line="229" w:lineRule="exact"/>
        <w:rPr>
          <w:rFonts w:ascii="Times New Roman" w:cs="Times New Roman" w:eastAsia="Times New Roman" w:hAnsi="Times New Roman"/>
          <w:sz w:val="18"/>
          <w:szCs w:val="18"/>
          <w:b w:val="1"/>
          <w:bCs w:val="1"/>
          <w:i w:val="1"/>
          <w:iCs w:val="1"/>
          <w:color w:val="auto"/>
        </w:rPr>
      </w:pPr>
    </w:p>
    <w:p>
      <w:pPr>
        <w:ind w:left="392" w:hanging="392"/>
        <w:spacing w:after="0"/>
        <w:tabs>
          <w:tab w:leader="none" w:pos="3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Coeptis Board unanimously recommends that the stockholders of Coeptis entitled to vote on the Proposals, vote as follows:</w:t>
      </w:r>
    </w:p>
    <w:p>
      <w:pPr>
        <w:spacing w:after="0" w:line="221" w:lineRule="exact"/>
        <w:rPr>
          <w:rFonts w:ascii="Times New Roman" w:cs="Times New Roman" w:eastAsia="Times New Roman" w:hAnsi="Times New Roman"/>
          <w:sz w:val="18"/>
          <w:szCs w:val="18"/>
          <w:color w:val="auto"/>
        </w:rPr>
      </w:pPr>
    </w:p>
    <w:p>
      <w:pPr>
        <w:ind w:left="872" w:hanging="440"/>
        <w:spacing w:after="0"/>
        <w:tabs>
          <w:tab w:leader="none" w:pos="87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approval of the Business Combination Proposal;</w:t>
      </w:r>
    </w:p>
    <w:p>
      <w:pPr>
        <w:spacing w:after="0" w:line="225" w:lineRule="exact"/>
        <w:rPr>
          <w:rFonts w:ascii="Times New Roman" w:cs="Times New Roman" w:eastAsia="Times New Roman" w:hAnsi="Times New Roman"/>
          <w:sz w:val="18"/>
          <w:szCs w:val="18"/>
          <w:color w:val="auto"/>
        </w:rPr>
      </w:pPr>
    </w:p>
    <w:p>
      <w:pPr>
        <w:ind w:left="872" w:hanging="440"/>
        <w:spacing w:after="0"/>
        <w:tabs>
          <w:tab w:leader="none" w:pos="87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approval of the Adjournment Proposal, if it is presented at the Stockholders Meeting.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792" w:right="359" w:bottom="1440" w:gutter="0" w:footer="0" w:header="0"/>
        </w:sectPr>
      </w:pPr>
    </w:p>
    <w:bookmarkStart w:id="27" w:name="page28"/>
    <w:bookmarkEnd w:id="27"/>
    <w:p>
      <w:pPr>
        <w:ind w:left="392" w:hanging="392"/>
        <w:spacing w:after="0"/>
        <w:tabs>
          <w:tab w:leader="none" w:pos="392"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many votes do I have?</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100" w:hanging="432"/>
        <w:spacing w:after="0" w:line="261" w:lineRule="auto"/>
        <w:tabs>
          <w:tab w:leader="none" w:pos="39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Coeptis’ common stock are entitled to one vote per share held by them on the Record Date. Generally, all matters to be voted on by stockholders must be approved by a majority (or, in the case of election of directors, by a plurality) of the votes entitled to be cast by all shares of Coeptis’ common stock (including our common stock underlying the Series B Convertible Preferred Stock) that are present in person or represented by proxy.</w:t>
      </w:r>
    </w:p>
    <w:p>
      <w:pPr>
        <w:spacing w:after="0" w:line="17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interests do Coeptis’ officers and directors and its financial advisors have in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160" w:hanging="432"/>
        <w:spacing w:after="0" w:line="258" w:lineRule="auto"/>
        <w:tabs>
          <w:tab w:leader="none" w:pos="4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considering the recommendation of the Coeptis Board to vote in favor of the Business Combination, the stockholders should be aware that, aside from their interests as stockholders, Coeptis’ directors and officers and its financial advisors have interests in the Business Combination that are different from, or in addition to, those of Coeptis’ other stockholders generally. Coeptis’ directors were aware of and considered these interests, among other matters, in evaluating the Business Combination, and in recommending to Coeptis’ stockholders that they approve the Business Combination. See also “Risk Factors — </w:t>
      </w:r>
      <w:r>
        <w:rPr>
          <w:rFonts w:ascii="Times New Roman" w:cs="Times New Roman" w:eastAsia="Times New Roman" w:hAnsi="Times New Roman"/>
          <w:sz w:val="18"/>
          <w:szCs w:val="18"/>
          <w:i w:val="1"/>
          <w:iCs w:val="1"/>
          <w:color w:val="auto"/>
        </w:rPr>
        <w:t>Risks Related to the Business Combination”</w:t>
      </w:r>
    </w:p>
    <w:p>
      <w:pPr>
        <w:spacing w:after="0" w:line="17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the Business Combination is not completed?</w:t>
      </w:r>
    </w:p>
    <w:p>
      <w:pPr>
        <w:spacing w:after="0" w:line="229" w:lineRule="exact"/>
        <w:rPr>
          <w:rFonts w:ascii="Times New Roman" w:cs="Times New Roman" w:eastAsia="Times New Roman" w:hAnsi="Times New Roman"/>
          <w:sz w:val="18"/>
          <w:szCs w:val="18"/>
          <w:b w:val="1"/>
          <w:bCs w:val="1"/>
          <w:i w:val="1"/>
          <w:iCs w:val="1"/>
          <w:color w:val="auto"/>
        </w:rPr>
      </w:pPr>
    </w:p>
    <w:p>
      <w:pPr>
        <w:ind w:left="432" w:hanging="432"/>
        <w:spacing w:after="0" w:line="256" w:lineRule="auto"/>
        <w:tabs>
          <w:tab w:leader="none" w:pos="39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Business Combination Proposal will require the affirmative vote of holders of the majority of common stock of Coeptis (including the Series B Stock on an as converted basis) issued and outstanding on the Record Date and entitled to vote on the Proposals to be considered at the Stockholders Meeting. If the Business Combination Proposal fails to receive the required stockholder approval from Coeptis and shareholder approval from Bull Horn, the Business Combination will not be completed. In addition, if the Business Combination is not consummated by November 3, 2022, Bull Horn will be required to dissolve and liquidate itself and the Business Combination will not close (unless Bull Horn submits an extension and it shareholders approve this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792" w:right="3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DATA OF COEPTIS</w:t>
      </w:r>
    </w:p>
    <w:p>
      <w:pPr>
        <w:spacing w:after="0" w:line="229"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selected historical consolidated statement of operations data for the quarter ended June 30, 2022 and the year ended December 31, 2021, and the selected historical consolidated balance sheet data of Coeptis presented below as of June 30, 2022 and December 31, 2021 have been derived from Coeptis’ consolidated financial statements included elsewhere in this proxy statement.</w:t>
      </w:r>
    </w:p>
    <w:p>
      <w:pPr>
        <w:spacing w:after="0" w:line="176"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historical results presented below are not necessarily indicative of the results to be expected for any future period. You should read carefully the following selected information in conjunction with “</w:t>
      </w:r>
      <w:r>
        <w:rPr>
          <w:rFonts w:ascii="Times New Roman" w:cs="Times New Roman" w:eastAsia="Times New Roman" w:hAnsi="Times New Roman"/>
          <w:sz w:val="18"/>
          <w:szCs w:val="18"/>
          <w:i w:val="1"/>
          <w:iCs w:val="1"/>
          <w:color w:val="auto"/>
        </w:rPr>
        <w:t>Management’s Discussion and Analysis of Financial Condition and Results of Operations of Coeptis</w:t>
      </w:r>
      <w:r>
        <w:rPr>
          <w:rFonts w:ascii="Times New Roman" w:cs="Times New Roman" w:eastAsia="Times New Roman" w:hAnsi="Times New Roman"/>
          <w:sz w:val="18"/>
          <w:szCs w:val="18"/>
          <w:color w:val="auto"/>
        </w:rPr>
        <w:t>” and Coeptis’ historical consolidated financial statements and accompanying footnotes, included elsewhere in this proxy statement.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Income Statement Data</w:t>
            </w: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5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360" w:type="dxa"/>
            <w:vAlign w:val="bottom"/>
          </w:tcPr>
          <w:p>
            <w:pPr>
              <w:spacing w:after="0"/>
              <w:rPr>
                <w:sz w:val="24"/>
                <w:szCs w:val="24"/>
                <w:color w:val="auto"/>
              </w:rPr>
            </w:pPr>
          </w:p>
        </w:tc>
        <w:tc>
          <w:tcPr>
            <w:tcW w:w="15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3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360" w:type="dxa"/>
            <w:vAlign w:val="bottom"/>
          </w:tcPr>
          <w:p>
            <w:pPr>
              <w:spacing w:after="0"/>
              <w:rPr>
                <w:sz w:val="18"/>
                <w:szCs w:val="18"/>
                <w:color w:val="auto"/>
              </w:rPr>
            </w:pPr>
          </w:p>
        </w:tc>
        <w:tc>
          <w:tcPr>
            <w:tcW w:w="15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3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60" w:type="dxa"/>
            <w:vAlign w:val="bottom"/>
          </w:tcPr>
          <w:p>
            <w:pPr>
              <w:spacing w:after="0"/>
              <w:rPr>
                <w:sz w:val="18"/>
                <w:szCs w:val="18"/>
                <w:color w:val="auto"/>
              </w:rPr>
            </w:pPr>
          </w:p>
        </w:tc>
        <w:tc>
          <w:tcPr>
            <w:tcW w:w="15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8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(9,812,854)</w:t>
            </w:r>
          </w:p>
        </w:tc>
        <w:tc>
          <w:tcPr>
            <w:tcW w:w="36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(25,583,988)</w:t>
            </w:r>
          </w:p>
        </w:tc>
        <w:tc>
          <w:tcPr>
            <w:tcW w:w="3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(14,233,066)</w:t>
            </w: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63,826</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119,644</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187,133</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(9,802,837)</w:t>
            </w:r>
          </w:p>
        </w:tc>
        <w:tc>
          <w:tcPr>
            <w:tcW w:w="36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(28,982,530)</w:t>
            </w:r>
          </w:p>
        </w:tc>
        <w:tc>
          <w:tcPr>
            <w:tcW w:w="3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(13,449,280)</w:t>
            </w: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38,657,490</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38,042,870</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32,400,101</w:t>
            </w:r>
          </w:p>
        </w:tc>
        <w:tc>
          <w:tcPr>
            <w:tcW w:w="0" w:type="dxa"/>
            <w:vAlign w:val="bottom"/>
          </w:tcPr>
          <w:p>
            <w:pPr>
              <w:spacing w:after="0"/>
              <w:rPr>
                <w:sz w:val="1"/>
                <w:szCs w:val="1"/>
                <w:color w:val="auto"/>
              </w:rPr>
            </w:pP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per share, basic and fully-diluted</w:t>
            </w:r>
          </w:p>
        </w:tc>
        <w:tc>
          <w:tcPr>
            <w:tcW w:w="138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(0.25)</w:t>
            </w:r>
          </w:p>
        </w:tc>
        <w:tc>
          <w:tcPr>
            <w:tcW w:w="360" w:type="dxa"/>
            <w:vAlign w:val="bottom"/>
          </w:tcPr>
          <w:p>
            <w:pPr>
              <w:spacing w:after="0"/>
              <w:rPr>
                <w:sz w:val="20"/>
                <w:szCs w:val="20"/>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(0.76)</w:t>
            </w:r>
          </w:p>
        </w:tc>
        <w:tc>
          <w:tcPr>
            <w:tcW w:w="30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400"/>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Balance Sheet Data:</w:t>
            </w: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300" w:type="dxa"/>
            <w:vAlign w:val="bottom"/>
          </w:tcPr>
          <w:p>
            <w:pPr>
              <w:spacing w:after="0"/>
              <w:rPr>
                <w:sz w:val="24"/>
                <w:szCs w:val="24"/>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14"/>
        </w:trPr>
        <w:tc>
          <w:tcPr>
            <w:tcW w:w="2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2,378,295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2,179,558</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6,523,645</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6,765,576</w:t>
            </w: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4,462,611</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4,414,942</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2,061,034</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2,350,634</w:t>
            </w: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6,523,645</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6,765,576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DATA OF BULL HORN</w:t>
      </w:r>
    </w:p>
    <w:p>
      <w:pPr>
        <w:spacing w:after="0" w:line="229"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 selected historical condensed income statement data for the quarter ended June 30, 2022 and the year ended December 31, 2021 and the selected historical condensed balance sheet data as of June 30, 2022 and December 31, 2021 have been derived from Bull Horn’s financial statements included elsewhere in this proxy statement.</w:t>
      </w:r>
    </w:p>
    <w:p>
      <w:pPr>
        <w:spacing w:after="0" w:line="17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historical results presented below are not necessarily indicative of the results to be expected for any future period. You should read carefully the following selected information in conjunction with “</w:t>
      </w:r>
      <w:r>
        <w:rPr>
          <w:rFonts w:ascii="Times New Roman" w:cs="Times New Roman" w:eastAsia="Times New Roman" w:hAnsi="Times New Roman"/>
          <w:sz w:val="18"/>
          <w:szCs w:val="18"/>
          <w:i w:val="1"/>
          <w:iCs w:val="1"/>
          <w:color w:val="auto"/>
        </w:rPr>
        <w:t>Management’s Discussion and Analysis of Financial Condition and Results of Operations of Bull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Horn” </w:t>
      </w:r>
      <w:r>
        <w:rPr>
          <w:rFonts w:ascii="Times New Roman" w:cs="Times New Roman" w:eastAsia="Times New Roman" w:hAnsi="Times New Roman"/>
          <w:sz w:val="18"/>
          <w:szCs w:val="18"/>
          <w:color w:val="auto"/>
        </w:rPr>
        <w:t>and Bull Horn’s historical financial statements and accompanying footnotes, included elsewhere in this proxy statement.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Income Statement Data</w:t>
            </w: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820" w:type="dxa"/>
            <w:vAlign w:val="bottom"/>
          </w:tcPr>
          <w:p>
            <w:pPr>
              <w:spacing w:after="0"/>
              <w:rPr>
                <w:sz w:val="20"/>
                <w:szCs w:val="20"/>
                <w:color w:val="auto"/>
              </w:rPr>
            </w:pPr>
          </w:p>
        </w:tc>
        <w:tc>
          <w:tcPr>
            <w:tcW w:w="162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280" w:type="dxa"/>
            <w:vAlign w:val="bottom"/>
          </w:tcPr>
          <w:p>
            <w:pPr>
              <w:spacing w:after="0"/>
              <w:rPr>
                <w:sz w:val="20"/>
                <w:szCs w:val="20"/>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194"/>
        </w:trPr>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8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tcPr>
          <w:p>
            <w:pPr>
              <w:spacing w:after="0"/>
              <w:rPr>
                <w:sz w:val="18"/>
                <w:szCs w:val="18"/>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(1,273)</w:t>
            </w:r>
          </w:p>
        </w:tc>
        <w:tc>
          <w:tcPr>
            <w:tcW w:w="2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2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4,197</w:t>
            </w:r>
          </w:p>
        </w:tc>
        <w:tc>
          <w:tcPr>
            <w:tcW w:w="2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15,903</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promissory note</w:t>
            </w: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2,979</w:t>
            </w:r>
          </w:p>
        </w:tc>
        <w:tc>
          <w:tcPr>
            <w:tcW w:w="2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15,230</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per share, ordinary shares subject to possible redemption</w:t>
            </w: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0.38</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98"/>
        </w:trPr>
        <w:tc>
          <w:tcPr>
            <w:tcW w:w="70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basic and diluted, ordinary shares</w:t>
            </w: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820" w:type="dxa"/>
            <w:vAlign w:val="bottom"/>
          </w:tcPr>
          <w:p>
            <w:pPr>
              <w:spacing w:after="0"/>
              <w:rPr>
                <w:sz w:val="20"/>
                <w:szCs w:val="20"/>
                <w:color w:val="auto"/>
              </w:rPr>
            </w:pP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5,962,177</w:t>
            </w:r>
          </w:p>
        </w:tc>
        <w:tc>
          <w:tcPr>
            <w:tcW w:w="28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non-redeemable ordinary shares</w:t>
            </w: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0.38</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4"/>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 non-redeemable ordinary shares</w:t>
            </w:r>
          </w:p>
        </w:tc>
        <w:tc>
          <w:tcPr>
            <w:tcW w:w="820" w:type="dxa"/>
            <w:vAlign w:val="bottom"/>
          </w:tcPr>
          <w:p>
            <w:pPr>
              <w:spacing w:after="0"/>
              <w:rPr>
                <w:sz w:val="20"/>
                <w:szCs w:val="20"/>
                <w:color w:val="auto"/>
              </w:rPr>
            </w:pP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1,875,000</w:t>
            </w:r>
          </w:p>
        </w:tc>
        <w:tc>
          <w:tcPr>
            <w:tcW w:w="28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1,875,000</w:t>
            </w:r>
          </w:p>
        </w:tc>
        <w:tc>
          <w:tcPr>
            <w:tcW w:w="0" w:type="dxa"/>
            <w:vAlign w:val="bottom"/>
          </w:tcPr>
          <w:p>
            <w:pPr>
              <w:spacing w:after="0"/>
              <w:rPr>
                <w:sz w:val="1"/>
                <w:szCs w:val="1"/>
                <w:color w:val="auto"/>
              </w:rPr>
            </w:pPr>
          </w:p>
        </w:tc>
      </w:tr>
      <w:tr>
        <w:trPr>
          <w:trHeight w:val="373"/>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Balance Sheet Data:</w:t>
            </w: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820" w:type="dxa"/>
            <w:vAlign w:val="bottom"/>
          </w:tcPr>
          <w:p>
            <w:pPr>
              <w:spacing w:after="0"/>
              <w:rPr>
                <w:sz w:val="20"/>
                <w:szCs w:val="20"/>
                <w:color w:val="auto"/>
              </w:rPr>
            </w:pPr>
          </w:p>
        </w:tc>
        <w:tc>
          <w:tcPr>
            <w:tcW w:w="162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 w:type="dxa"/>
            <w:vAlign w:val="bottom"/>
          </w:tcPr>
          <w:p>
            <w:pPr>
              <w:spacing w:after="0"/>
              <w:rPr>
                <w:sz w:val="20"/>
                <w:szCs w:val="20"/>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94"/>
        </w:trPr>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8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 account</w:t>
            </w:r>
          </w:p>
        </w:tc>
        <w:tc>
          <w:tcPr>
            <w:tcW w:w="820" w:type="dxa"/>
            <w:vAlign w:val="bottom"/>
          </w:tcPr>
          <w:p>
            <w:pPr>
              <w:spacing w:after="0"/>
              <w:rPr>
                <w:sz w:val="18"/>
                <w:szCs w:val="18"/>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32,989</w:t>
            </w:r>
          </w:p>
        </w:tc>
        <w:tc>
          <w:tcPr>
            <w:tcW w:w="2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75,759</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33,112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76,172</w:t>
            </w: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20" w:type="dxa"/>
            <w:vAlign w:val="bottom"/>
          </w:tcPr>
          <w:p>
            <w:pPr>
              <w:spacing w:after="0"/>
              <w:rPr>
                <w:sz w:val="18"/>
                <w:szCs w:val="18"/>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4,102</w:t>
            </w:r>
          </w:p>
        </w:tc>
        <w:tc>
          <w:tcPr>
            <w:tcW w:w="2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7,187</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ordinary shares subject to redemption</w:t>
            </w: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32,989</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75,759</w:t>
            </w:r>
          </w:p>
        </w:tc>
        <w:tc>
          <w:tcPr>
            <w:tcW w:w="0" w:type="dxa"/>
            <w:vAlign w:val="bottom"/>
          </w:tcPr>
          <w:p>
            <w:pPr>
              <w:spacing w:after="0"/>
              <w:rPr>
                <w:sz w:val="1"/>
                <w:szCs w:val="1"/>
                <w:color w:val="auto"/>
              </w:rPr>
            </w:pPr>
          </w:p>
        </w:tc>
      </w:tr>
      <w:tr>
        <w:trPr>
          <w:trHeight w:val="234"/>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deficit</w:t>
            </w:r>
          </w:p>
        </w:tc>
        <w:tc>
          <w:tcPr>
            <w:tcW w:w="82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(3,979)</w:t>
            </w:r>
          </w:p>
        </w:tc>
        <w:tc>
          <w:tcPr>
            <w:tcW w:w="28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and presents the combination of the historical financial information of Bull Horn and Coeptis adjusted to give effect to the Business Combination and the other events contemplated by the Merger Agreement.</w:t>
      </w:r>
    </w:p>
    <w:p>
      <w:pPr>
        <w:spacing w:after="0" w:line="180"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2022 combines the historical unaudited balance sheet of Coeptis and the historical unaudited balance sheet of Bull Horn on a pro forma basis as if the Business Combination and related transactions had been consummated on June 30, 2022.</w:t>
      </w:r>
    </w:p>
    <w:p>
      <w:pPr>
        <w:spacing w:after="0" w:line="176"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six months ended June 30, 2022 combines the historical unaudited condensed statement of operations of Coeptis for the six months ended June 30, 2022 and the historical unaudited condensed statement of operations of Bull Horn for the six months ended June 30, 2022. The twelve months ended December 31, 2021 combines the historical audited statements of operations of Coeptis for the year ended December 31, 2021 and the historical audited statements of operations of Bull Horn for the year ended December 31, 2021. The unaudited pro forma condensed combined statement of operations for the six months ended June 30, 2022 and for the year ended December 31, 2021 are presented on a pro forma basis as if the Business Combination and related transactions had been consummated on January 1, 2021, the beginning of the earliest period presented.</w:t>
      </w:r>
    </w:p>
    <w:p>
      <w:pPr>
        <w:spacing w:after="0" w:line="18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financial position and results of operations that would have been achieved had the Business Combination and related transactions occurred on the dates indicated. Further, the unaudited pro forma condensed combined financial information may not be useful in predicting the future financial condition and results of operations of the Company. The actual financial position and results of operations may differ significantly from the pro forma amounts reflected herein due to a variety of factors. The unaudited pro forma adjustments represent management’s estimates based on information available as of the date of the unaudited pro forma condensed combined financial information and is subject to change as additional information becomes available and analyses are performed. This information should be read together with the following:</w:t>
      </w:r>
    </w:p>
    <w:p>
      <w:pPr>
        <w:spacing w:after="0" w:line="189" w:lineRule="exact"/>
        <w:rPr>
          <w:sz w:val="20"/>
          <w:szCs w:val="20"/>
          <w:color w:val="auto"/>
        </w:rPr>
      </w:pPr>
    </w:p>
    <w:p>
      <w:pPr>
        <w:ind w:left="880" w:hanging="440"/>
        <w:spacing w:after="0"/>
        <w:tabs>
          <w:tab w:leader="none" w:pos="8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 historical audited financial statements of Bull Horn as of December 31, 2021 and for the years ended through December 31, 2021 and</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historical unaudited condensed financial statements of Bull Horn as of and for the six months ended June 30, 2022;</w:t>
      </w:r>
    </w:p>
    <w:p>
      <w:pPr>
        <w:spacing w:after="0" w:line="206"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 historical audited consolidated financial statements of Coeptis as of and for the years ended December 31, 2021 and December 31, 2020 and (b) historical unaudited condensed consolidated financial statements of Coeptis as of and for the six months ended June 30, 2022;</w:t>
      </w:r>
    </w:p>
    <w:p>
      <w:pPr>
        <w:spacing w:after="0" w:line="159" w:lineRule="exact"/>
        <w:rPr>
          <w:rFonts w:ascii="Times New Roman" w:cs="Times New Roman" w:eastAsia="Times New Roman" w:hAnsi="Times New Roman"/>
          <w:sz w:val="18"/>
          <w:szCs w:val="18"/>
          <w:color w:val="auto"/>
        </w:rPr>
      </w:pPr>
    </w:p>
    <w:p>
      <w:pPr>
        <w:ind w:left="880" w:right="60" w:hanging="440"/>
        <w:spacing w:after="0" w:line="267" w:lineRule="auto"/>
        <w:tabs>
          <w:tab w:leader="none" w:pos="8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titled “</w:t>
      </w:r>
      <w:r>
        <w:rPr>
          <w:rFonts w:ascii="Times New Roman" w:cs="Times New Roman" w:eastAsia="Times New Roman" w:hAnsi="Times New Roman"/>
          <w:sz w:val="18"/>
          <w:szCs w:val="18"/>
          <w:i w:val="1"/>
          <w:iCs w:val="1"/>
          <w:color w:val="auto"/>
        </w:rPr>
        <w:t>Management’s Discussion and Analysis of Financial Condition and Results of Operations of Coeptis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 of Bull Horn</w:t>
      </w:r>
      <w:r>
        <w:rPr>
          <w:rFonts w:ascii="Times New Roman" w:cs="Times New Roman" w:eastAsia="Times New Roman" w:hAnsi="Times New Roman"/>
          <w:sz w:val="18"/>
          <w:szCs w:val="18"/>
          <w:color w:val="auto"/>
        </w:rPr>
        <w:t>” and other financial information included elsewhere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proxy statement; and</w:t>
      </w:r>
    </w:p>
    <w:p>
      <w:pPr>
        <w:spacing w:after="0" w:line="175"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relating to Bull Horn and Coeptis included in this proxy statement, including the Merger Agreement and the description of certain terms thereof set forth under the section entitled “</w:t>
      </w:r>
      <w:r>
        <w:rPr>
          <w:rFonts w:ascii="Times New Roman" w:cs="Times New Roman" w:eastAsia="Times New Roman" w:hAnsi="Times New Roman"/>
          <w:sz w:val="18"/>
          <w:szCs w:val="18"/>
          <w:i w:val="1"/>
          <w:iCs w:val="1"/>
          <w:color w:val="auto"/>
        </w:rPr>
        <w:t>Proposal 1: The Business Combination Proposal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22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On April 18, 2022, Bull Horn entered into the Merger Agreement with Merger Sub and Coeptis. Pursuant to the Merger Agreement, subject to the terms and conditions set forth therein, (i) prior to the Closing, Bull Horn will re-domicile from the British Virgin Islands to the State of Delaware through a statutory re-domestication, and (ii) upon the Closing, Merger Sub will merge with and into Coeptis, with Coeptis continuing as the surviving corporation in the Merger and a wholly-owned subsidiary of Bull Horn (after the Domestication).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ind w:firstLine="432"/>
        <w:spacing w:after="0" w:line="253" w:lineRule="auto"/>
        <w:rPr>
          <w:sz w:val="20"/>
          <w:szCs w:val="20"/>
          <w:color w:val="auto"/>
        </w:rPr>
      </w:pPr>
      <w:r>
        <w:rPr>
          <w:rFonts w:ascii="Times New Roman" w:cs="Times New Roman" w:eastAsia="Times New Roman" w:hAnsi="Times New Roman"/>
          <w:sz w:val="18"/>
          <w:szCs w:val="18"/>
          <w:color w:val="auto"/>
        </w:rPr>
        <w:t>The Merger Consideration received by Coeptis security holders from Bull Horn at the Closing will have an aggregate value equal to (i) $175,000,000, minus (or plus if positive) (ii) the amount of Coeptis’ outstanding indebtedness as of immediately prior to the Closing (excluding Permitted Debt, as described below), net of its cash as of immediately prior to the Closing, minus (iii) the amount of Coeptis’ outstanding unpaid transaction expenses and transaction bonuses as of the Closing. The Merger Consideration will be payable, (a) in the case of Coeptis stockholders, solely in new shares of Bull Horn common stock, with each share of Bull Horn common stock valued at the price per share at which each Bull Horn share of common stock is redeemed or converted pursuant to the redemption by Bull Horn of its public shareholders in connection with Bull Horn’s initial business combination, as required by its amended and restated memorandum and articles of association and Bull Horn’s initial public offering prospectus, and (b) with respect to the holders of the Specified Warrants, by the assumption of such warrants by Bull Horn as Assumed Warrants. The Merger Consideration deliverable to Coeptis stockholders will be allocated pro rata after giving effect to the Preferred Stock Exchange and deducting the value attributable to the Assumed Warrants as if the Specified Warrants that become Assumed Warrants were exercised on a net exercise basis as of immediately prior to the Closing.</w:t>
      </w:r>
    </w:p>
    <w:p>
      <w:pPr>
        <w:spacing w:after="0" w:line="194" w:lineRule="exact"/>
        <w:rPr>
          <w:sz w:val="20"/>
          <w:szCs w:val="20"/>
          <w:color w:val="auto"/>
        </w:rPr>
      </w:pPr>
    </w:p>
    <w:p>
      <w:pPr>
        <w:ind w:right="380" w:firstLine="432"/>
        <w:spacing w:after="0" w:line="261" w:lineRule="auto"/>
        <w:rPr>
          <w:sz w:val="20"/>
          <w:szCs w:val="20"/>
          <w:color w:val="auto"/>
        </w:rPr>
      </w:pPr>
      <w:r>
        <w:rPr>
          <w:rFonts w:ascii="Times New Roman" w:cs="Times New Roman" w:eastAsia="Times New Roman" w:hAnsi="Times New Roman"/>
          <w:sz w:val="18"/>
          <w:szCs w:val="18"/>
          <w:color w:val="auto"/>
        </w:rPr>
        <w:t>The Coeptis Convertible Debt, along with (i) certain other outstanding indebtedness of Coeptis as of the date of the Merger Agreement (which together with the Coeptis Convertible Debt, has aggregate outstanding obligations of approximately $3.9 million as of such date), and (ii) certain other indebtedness that Coeptis is permitted to incur between the signing of the Merger Agreement and the Closing, will not affect the Merger Consideration payable to Coeptis security holders.</w:t>
      </w:r>
    </w:p>
    <w:p>
      <w:pPr>
        <w:spacing w:after="0" w:line="180"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the completion of the Merger, stockholders of Coeptis will collectively receive as consideration for their existing Coeptis common stock and Coeptis preferred stock shares of Company Common Stock pursuant to the Merger Agreement. However, the Merger Consideration does not include any value attributable to (i) Assumed Warrants to purchase 1,552,676 shares (at an average exercise price of $6.96) or (ii) 100,334 shares which may be issued upon the conversion of the Assumed Convertible Debt. All other equity instruments of Coeptis will be cancelled or exercised prior to the completion of the Business Combination. Based on the assumptions set forth under the section entitled “</w:t>
      </w:r>
      <w:r>
        <w:rPr>
          <w:rFonts w:ascii="Times New Roman" w:cs="Times New Roman" w:eastAsia="Times New Roman" w:hAnsi="Times New Roman"/>
          <w:sz w:val="18"/>
          <w:szCs w:val="18"/>
          <w:i w:val="1"/>
          <w:iCs w:val="1"/>
          <w:color w:val="auto"/>
        </w:rPr>
        <w:t>Frequently Used Terms — Share Calculations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Percentages</w:t>
      </w:r>
      <w:r>
        <w:rPr>
          <w:rFonts w:ascii="Times New Roman" w:cs="Times New Roman" w:eastAsia="Times New Roman" w:hAnsi="Times New Roman"/>
          <w:sz w:val="18"/>
          <w:szCs w:val="18"/>
          <w:color w:val="auto"/>
        </w:rPr>
        <w:t>,” the total number of post-Merger shares of common stock issuable to the Coeptis stockholders will be approximately 17,123,288,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entitling such holders collectively to exchange Coeptis securities for approximately 77% of the Company Common Stock in the aggregate.</w:t>
      </w:r>
    </w:p>
    <w:p>
      <w:pPr>
        <w:spacing w:after="0" w:line="185" w:lineRule="exact"/>
        <w:rPr>
          <w:sz w:val="20"/>
          <w:szCs w:val="20"/>
          <w:color w:val="auto"/>
        </w:rPr>
      </w:pPr>
    </w:p>
    <w:p>
      <w:pPr>
        <w:ind w:right="20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For more information about the Business Combination, please see the section entitled “</w:t>
      </w:r>
      <w:r>
        <w:rPr>
          <w:rFonts w:ascii="Times New Roman" w:cs="Times New Roman" w:eastAsia="Times New Roman" w:hAnsi="Times New Roman"/>
          <w:sz w:val="18"/>
          <w:szCs w:val="18"/>
          <w:b w:val="1"/>
          <w:bCs w:val="1"/>
          <w:i w:val="1"/>
          <w:iCs w:val="1"/>
          <w:color w:val="auto"/>
        </w:rPr>
        <w:t>Proposal 1: The Business Combination Proposal.</w:t>
      </w:r>
      <w:r>
        <w:rPr>
          <w:rFonts w:ascii="Times New Roman" w:cs="Times New Roman" w:eastAsia="Times New Roman" w:hAnsi="Times New Roman"/>
          <w:sz w:val="18"/>
          <w:szCs w:val="18"/>
          <w:b w:val="1"/>
          <w:bCs w:val="1"/>
          <w:color w:val="auto"/>
        </w:rPr>
        <w:t xml:space="preserve">” A copy of the Merger Agreement is attached to the accompanying proxy statement as </w:t>
      </w:r>
      <w:r>
        <w:rPr>
          <w:rFonts w:ascii="Times New Roman" w:cs="Times New Roman" w:eastAsia="Times New Roman" w:hAnsi="Times New Roman"/>
          <w:sz w:val="18"/>
          <w:szCs w:val="18"/>
          <w:b w:val="1"/>
          <w:bCs w:val="1"/>
          <w:i w:val="1"/>
          <w:iCs w:val="1"/>
          <w:u w:val="single" w:color="auto"/>
          <w:color w:val="0000EE"/>
        </w:rPr>
        <w:t>Annex A</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229"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Transactions will be accounted for as a capital reorganization in accordance with GAAP. Accordingly, the Transactions will be treated as the equivalent of Coeptis issuing shares for the net assets of Bull Horn as of the Closing Date, accompanied by a recapitalization. The net assets of Bull Horn will be stated at historical cost, with no goodwill or other intangible assets recorded.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Coeptis has been determined to be the accounting acquirer based on evaluation of the following facts and circumstances:</w:t>
      </w:r>
    </w:p>
    <w:p>
      <w:pPr>
        <w:spacing w:after="0" w:line="225" w:lineRule="exact"/>
        <w:rPr>
          <w:sz w:val="20"/>
          <w:szCs w:val="20"/>
          <w:color w:val="auto"/>
        </w:rPr>
      </w:pPr>
    </w:p>
    <w:p>
      <w:pPr>
        <w:ind w:left="880" w:hanging="440"/>
        <w:spacing w:after="0"/>
        <w:tabs>
          <w:tab w:leader="none" w:pos="8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stockholders will have the largest voting interest in the Company under both the no redemption and maximum redemption scenarios;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will have seven members, and Coeptis has the ability to designate the majority of the members of the Company Board;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senior management is the senior management of the Company;</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Coeptis will comprise the ongoing operations of the Company;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is the larger entity, in terms of substantive operations and employee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Coeptis is providing the following selected unaudited pro forma condensed combined financial information to aid you in your analysis of the financial aspects of the transactions.</w:t>
      </w:r>
    </w:p>
    <w:p>
      <w:pPr>
        <w:spacing w:after="0" w:line="162"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The following selected unaudited pro forma condensed combined balance sheet combines the unaudited historical condensed consolidated balance sheet of Coeptis as of June 30, 2022 with the unaudited historical condensed balance sheet of Bull Horn as of June 30, 2022, giving effect to the transactions as if they had been consummated as of that date.</w:t>
      </w:r>
    </w:p>
    <w:p>
      <w:pPr>
        <w:spacing w:after="0" w:line="17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following selected unaudited pro forma condensed combined statement of operations for the six months ended June 30, 2022 combines the unaudited historical condensed consolidated statement of operations of Coeptis for the six months ended June 30, 2022 with the unaudited condensed statement of operations of Bull Horn for the six months ended June 30, 2022, giving effect to the transactions as if they had occurred as of January 1, 2021, the beginning of the earliest period presented.</w:t>
      </w:r>
    </w:p>
    <w:p>
      <w:pPr>
        <w:spacing w:after="0" w:line="180"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The following selected unaudited pro forma condensed combined statement of operations for the year ended December 31, 2021 combines the audited historical consolidated statement of operations of Coeptis for the year ended December 31, 2021 with the audited statement of operations of Bull Horn for the year ended December 31, 2021, giving effect to the transactions as if they had occurred as of January 1, 2021, the beginning of the earliest period presented.</w:t>
      </w:r>
    </w:p>
    <w:p>
      <w:pPr>
        <w:spacing w:after="0" w:line="18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selected unaudited pro forma condensed combined financial information has been prepared assuming two alternative levels of redemption related to Bull Horn’s ordinary shares into cash:</w:t>
      </w:r>
    </w:p>
    <w:p>
      <w:pPr>
        <w:spacing w:after="0" w:line="160" w:lineRule="exact"/>
        <w:rPr>
          <w:sz w:val="20"/>
          <w:szCs w:val="20"/>
          <w:color w:val="auto"/>
        </w:rPr>
      </w:pPr>
    </w:p>
    <w:p>
      <w:pPr>
        <w:ind w:left="880" w:right="60" w:hanging="440"/>
        <w:spacing w:after="0" w:line="267" w:lineRule="auto"/>
        <w:tabs>
          <w:tab w:leader="none" w:pos="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Scenario 1 </w:t>
      </w:r>
      <w:r>
        <w:rPr>
          <w:rFonts w:ascii="Times New Roman" w:cs="Times New Roman" w:eastAsia="Times New Roman" w:hAnsi="Times New Roman"/>
          <w:sz w:val="18"/>
          <w:szCs w:val="18"/>
          <w:color w:val="auto"/>
        </w:rPr>
        <w:t>— Assuming No Redemptions: This presentation takes into account the 4,258,586 Bull Horn ordinary shares that were redeemed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 special meeting of its shareholders held on April 26, 2022 and assumes that no additional Bull Horn shareholders exercise redemption rights with respect to their ordinary shares upon consummation of the Business Combination; and</w:t>
      </w:r>
    </w:p>
    <w:p>
      <w:pPr>
        <w:spacing w:after="0" w:line="173" w:lineRule="exact"/>
        <w:rPr>
          <w:rFonts w:ascii="Times New Roman" w:cs="Times New Roman" w:eastAsia="Times New Roman" w:hAnsi="Times New Roman"/>
          <w:sz w:val="18"/>
          <w:szCs w:val="18"/>
          <w:color w:val="auto"/>
        </w:rPr>
      </w:pPr>
    </w:p>
    <w:p>
      <w:pPr>
        <w:ind w:left="880" w:right="40" w:hanging="440"/>
        <w:spacing w:after="0" w:line="254" w:lineRule="auto"/>
        <w:tabs>
          <w:tab w:leader="none" w:pos="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Scenario 2 </w:t>
      </w:r>
      <w:r>
        <w:rPr>
          <w:rFonts w:ascii="Times New Roman" w:cs="Times New Roman" w:eastAsia="Times New Roman" w:hAnsi="Times New Roman"/>
          <w:sz w:val="18"/>
          <w:szCs w:val="18"/>
          <w:color w:val="auto"/>
        </w:rPr>
        <w:t>— Assuming Maximum Redemptions: This presentation assumes that an additional 2,598,025 Bull Horn ordinary shares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redeemed for their pro rata share of the cash in the trust account. This presentation assumes that Bull Horn shareholders exercise their Redemption Rights with respect to a maximum of 2,598,025 ordinary shares upon consummation of the Business Combination at a Redemption Price of approximately $10.22 per share. The maximum redemption amount reflects the maximum number of Bull Horn public shares that can be redeemed without violating the conditions of the Merger Agreement or the requirement of the Current Charter that Bull Horn cannot redeem public shares if it would result in Bull Horn having a minimum net tangible asset value of less than $5,000,001, after giving effect to the payments to redeeming shareholders. Scenario 2 includes all adjustments contained in Scenario 1 and presents additional adjustments to reflect the effect of the maximum redemptions. Should Bull Horn’s shareholders attempt to redeem more than the maximum amount of 2,598,025 ordinary shares, it would be in violation of the conditions of the Merger Agreement and its Current Charter and Bull Horn would not proceed with the Business Combination.</w:t>
      </w:r>
    </w:p>
    <w:p>
      <w:pPr>
        <w:spacing w:after="0" w:line="187"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The Transaction Accounting Adjustments reflect only the application of required accounting to the acquisition, disposition, or other transaction linking the effects of the acquired business to the registrant’s audited historical financial statements. The adjustments presented in the selected unaudited pro forma condensed combined financial statements have been identified and presented to provide relevant information necessary for an accurate understanding of the Company upon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3" w:name="page34"/>
    <w:bookmarkEnd w:id="33"/>
    <w:p>
      <w:pPr>
        <w:ind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financial position and results of operations that would have been achieved had the Business Combination and related transactions occurred on the dates indicated. Further, the unaudited pro forma condensed combined financial information may not be useful in predicting the future financial condition and results of operations of the Company. The actual financial position and results of operations may differ significantly from the pro forma amounts reflected herein due to a variety of factors. The unaudited pro forma adjustments represent management’s estimates based on information available as of the date of the unaudited pro forma condensed combined financial information and is subject to change as additional information becomes available and analyses are performed. This information should be read together with the following:</w:t>
      </w:r>
    </w:p>
    <w:p>
      <w:pPr>
        <w:spacing w:after="0" w:line="189" w:lineRule="exact"/>
        <w:rPr>
          <w:sz w:val="20"/>
          <w:szCs w:val="20"/>
          <w:color w:val="auto"/>
        </w:rPr>
      </w:pPr>
    </w:p>
    <w:p>
      <w:pPr>
        <w:ind w:left="880" w:hanging="440"/>
        <w:spacing w:after="0"/>
        <w:tabs>
          <w:tab w:leader="none" w:pos="8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 historical audited financial statements of Bull Horn as of December 31, 2021 and for the year ended December 31, 2021 and</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historical unaudited condensed financial statements of Bull Horn as of and for the six months ended June 30, 2022;</w:t>
      </w:r>
    </w:p>
    <w:p>
      <w:pPr>
        <w:spacing w:after="0" w:line="206"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 historical audited consolidated financial statements of Coeptis as of and for the years ended December 31, 2021 and December 31, 2021 and (b) historical unaudited condensed consolidated financial statements of Coeptis as of and for the six months ended June 30, 2022;</w:t>
      </w:r>
    </w:p>
    <w:p>
      <w:pPr>
        <w:spacing w:after="0" w:line="159" w:lineRule="exact"/>
        <w:rPr>
          <w:rFonts w:ascii="Times New Roman" w:cs="Times New Roman" w:eastAsia="Times New Roman" w:hAnsi="Times New Roman"/>
          <w:sz w:val="18"/>
          <w:szCs w:val="18"/>
          <w:color w:val="auto"/>
        </w:rPr>
      </w:pPr>
    </w:p>
    <w:p>
      <w:pPr>
        <w:ind w:left="880" w:right="60" w:hanging="440"/>
        <w:spacing w:after="0" w:line="267" w:lineRule="auto"/>
        <w:tabs>
          <w:tab w:leader="none" w:pos="8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titled “</w:t>
      </w:r>
      <w:r>
        <w:rPr>
          <w:rFonts w:ascii="Times New Roman" w:cs="Times New Roman" w:eastAsia="Times New Roman" w:hAnsi="Times New Roman"/>
          <w:sz w:val="18"/>
          <w:szCs w:val="18"/>
          <w:i w:val="1"/>
          <w:iCs w:val="1"/>
          <w:color w:val="auto"/>
        </w:rPr>
        <w:t>Management’s Discussion and Analysis of Financial Condition and Results of Operations of Coeptis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 of Bull Horn</w:t>
      </w:r>
      <w:r>
        <w:rPr>
          <w:rFonts w:ascii="Times New Roman" w:cs="Times New Roman" w:eastAsia="Times New Roman" w:hAnsi="Times New Roman"/>
          <w:sz w:val="18"/>
          <w:szCs w:val="18"/>
          <w:color w:val="auto"/>
        </w:rPr>
        <w:t>” and other financial information included elsewhere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proxy statement; and</w:t>
      </w:r>
    </w:p>
    <w:p>
      <w:pPr>
        <w:spacing w:after="0" w:line="175"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relating to Bull Horn and Coeptis included in this proxy statement, including the Merger Agreement and the description of certain terms thereof set forth under the section entitled “</w:t>
      </w:r>
      <w:r>
        <w:rPr>
          <w:rFonts w:ascii="Times New Roman" w:cs="Times New Roman" w:eastAsia="Times New Roman" w:hAnsi="Times New Roman"/>
          <w:sz w:val="18"/>
          <w:szCs w:val="18"/>
          <w:i w:val="1"/>
          <w:iCs w:val="1"/>
          <w:color w:val="auto"/>
        </w:rPr>
        <w:t>Proposal 1: The Business Combination Proposal — The Merger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selected unaudited pro forma condensed combined financial information is presented for illustrative purposes only. The financial results may have been different had the companies always been combined. You should not rely on the selected unaudited pro forma condensed combined financial information as being indicative of the historical results that would have been achieved had the companies always been combined or the future results that the Company will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COMBINED PRO FORMA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179"/>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114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Coeptis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Bullhorn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2"/>
                <w:szCs w:val="12"/>
                <w:color w:val="auto"/>
              </w:rPr>
            </w:pPr>
          </w:p>
        </w:tc>
        <w:tc>
          <w:tcPr>
            <w:tcW w:w="114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100" w:type="dxa"/>
            <w:vAlign w:val="bottom"/>
          </w:tcPr>
          <w:p>
            <w:pPr>
              <w:spacing w:after="0"/>
              <w:rPr>
                <w:sz w:val="12"/>
                <w:szCs w:val="12"/>
                <w:color w:val="auto"/>
              </w:rPr>
            </w:pPr>
          </w:p>
        </w:tc>
        <w:tc>
          <w:tcPr>
            <w:tcW w:w="114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3"/>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0" w:type="dxa"/>
            <w:vAlign w:val="bottom"/>
          </w:tcPr>
          <w:p>
            <w:pPr>
              <w:spacing w:after="0"/>
              <w:rPr>
                <w:sz w:val="15"/>
                <w:szCs w:val="15"/>
                <w:color w:val="auto"/>
              </w:rPr>
            </w:pPr>
          </w:p>
        </w:tc>
        <w:tc>
          <w:tcPr>
            <w:tcW w:w="114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42"/>
        </w:trPr>
        <w:tc>
          <w:tcPr>
            <w:tcW w:w="2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2,378</w:t>
            </w:r>
          </w:p>
        </w:tc>
        <w:tc>
          <w:tcPr>
            <w:tcW w:w="2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32,989</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32,069</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(26,441)</w:t>
            </w:r>
          </w:p>
        </w:tc>
        <w:tc>
          <w:tcPr>
            <w:tcW w:w="3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(7,200)</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4,192</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(9)</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250</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4"/>
                <w:szCs w:val="14"/>
                <w:color w:val="auto"/>
              </w:rPr>
            </w:pP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2,378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29,857</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32,358</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(26,441)</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5,917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Co-Development 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4,054</w:t>
            </w: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Right of use asset, net of accumulated</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Investments held in Trust Account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32,989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(32,989)</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700" w:type="dxa"/>
            <w:vAlign w:val="bottom"/>
            <w:tcBorders>
              <w:top w:val="single" w:sz="8" w:color="CCEEFF"/>
              <w:bottom w:val="single" w:sz="8" w:color="CCEEFF"/>
            </w:tcBorders>
            <w:shd w:val="clear" w:color="auto" w:fill="CCEEFF"/>
          </w:tcPr>
          <w:p>
            <w:pPr>
              <w:ind w:left="36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6,523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33,112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(3,132</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36,503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(26,441</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10,062</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2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promissory note</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Notes payable, current portion</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3,663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3,663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3,663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Right of use liability, current portion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4,256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4,256</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4,256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Note payable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 of use liability, non-current portion</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Convertible notes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Advances from related party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underwriting fee payable</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(2,250)</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70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4,462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(3,502)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5,062</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5,062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Ordinary shares subject to possible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32,989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(32,989)</w:t>
            </w: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Additional paid in capital</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58,587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32,989</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91,723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(26,441)</w:t>
            </w:r>
          </w:p>
        </w:tc>
        <w:tc>
          <w:tcPr>
            <w:tcW w:w="3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65,282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(58,587)</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54,517</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4,192</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B ordinary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(56,533)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(4,075)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(3,751)</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(60,284)</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(60,284)</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4,075</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2,061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(3,979</w:t>
            </w:r>
          </w:p>
        </w:tc>
        <w:tc>
          <w:tcPr>
            <w:tcW w:w="14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33,359</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31,441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(26,441</w:t>
            </w:r>
          </w:p>
        </w:tc>
        <w:tc>
          <w:tcPr>
            <w:tcW w:w="1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5,000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700" w:type="dxa"/>
            <w:vAlign w:val="bottom"/>
          </w:tcPr>
          <w:p>
            <w:pPr>
              <w:ind w:left="360"/>
              <w:spacing w:after="0" w:line="104" w:lineRule="exact"/>
              <w:rPr>
                <w:sz w:val="20"/>
                <w:szCs w:val="20"/>
                <w:color w:val="auto"/>
              </w:rPr>
            </w:pPr>
            <w:r>
              <w:rPr>
                <w:rFonts w:ascii="Times New Roman" w:cs="Times New Roman" w:eastAsia="Times New Roman" w:hAnsi="Times New Roman"/>
                <w:sz w:val="12"/>
                <w:szCs w:val="12"/>
                <w:b w:val="1"/>
                <w:bCs w:val="1"/>
                <w:color w:val="auto"/>
              </w:rPr>
              <w:t>Total Liabilities and Shareholders’</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7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6,523</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33,112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39"/>
              <w:spacing w:after="0" w:line="200" w:lineRule="exact"/>
              <w:rPr>
                <w:sz w:val="20"/>
                <w:szCs w:val="20"/>
                <w:color w:val="auto"/>
              </w:rPr>
            </w:pPr>
            <w:r>
              <w:rPr>
                <w:rFonts w:ascii="Times New Roman" w:cs="Times New Roman" w:eastAsia="Times New Roman" w:hAnsi="Times New Roman"/>
                <w:sz w:val="13"/>
                <w:szCs w:val="13"/>
                <w:b w:val="1"/>
                <w:bCs w:val="1"/>
                <w:color w:val="auto"/>
              </w:rPr>
              <w:t>(3,132</w:t>
            </w:r>
            <w:r>
              <w:rPr>
                <w:rFonts w:ascii="Times New Roman" w:cs="Times New Roman" w:eastAsia="Times New Roman" w:hAnsi="Times New Roman"/>
                <w:sz w:val="23"/>
                <w:szCs w:val="23"/>
                <w:b w:val="1"/>
                <w:bCs w:val="1"/>
                <w:color w:val="auto"/>
                <w:vertAlign w:val="superscript"/>
              </w:rPr>
              <w:t>)</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36,503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tcPr>
          <w:p>
            <w:pPr>
              <w:jc w:val="right"/>
              <w:ind w:right="39"/>
              <w:spacing w:after="0" w:line="200" w:lineRule="exact"/>
              <w:rPr>
                <w:sz w:val="20"/>
                <w:szCs w:val="20"/>
                <w:color w:val="auto"/>
              </w:rPr>
            </w:pPr>
            <w:r>
              <w:rPr>
                <w:rFonts w:ascii="Times New Roman" w:cs="Times New Roman" w:eastAsia="Times New Roman" w:hAnsi="Times New Roman"/>
                <w:sz w:val="13"/>
                <w:szCs w:val="13"/>
                <w:b w:val="1"/>
                <w:bCs w:val="1"/>
                <w:color w:val="auto"/>
              </w:rPr>
              <w:t>(26,441</w:t>
            </w:r>
            <w:r>
              <w:rPr>
                <w:rFonts w:ascii="Times New Roman" w:cs="Times New Roman" w:eastAsia="Times New Roman" w:hAnsi="Times New Roman"/>
                <w:sz w:val="23"/>
                <w:szCs w:val="23"/>
                <w:b w:val="1"/>
                <w:bCs w:val="1"/>
                <w:color w:val="auto"/>
                <w:vertAlign w:val="superscript"/>
              </w:rPr>
              <w:t>)</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10,062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COMBINED PRO FORMA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7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Coeptis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Bullhorn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SALES</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Consulting Services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25,460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25,460</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25,460</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and marketing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1,273</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25,584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26,737</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26,737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bottom w:val="single" w:sz="8" w:color="CCEEFF"/>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(25,584</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(1,273</w:t>
            </w:r>
          </w:p>
        </w:tc>
        <w:tc>
          <w:tcPr>
            <w:tcW w:w="14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(26,737</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(26,737</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Royalties and licensing fees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(3,394)</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(3,394)</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warrants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4,197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4,197</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4,197</w:t>
            </w: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fair value of convertible promissory</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Interest earned on investments held in Trust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(56)</w:t>
            </w: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income before taxes</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(28,983)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2,979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(25,935)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(25,935)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taxes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4"/>
                <w:szCs w:val="14"/>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7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(loss) income</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(28,983</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2,979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(56</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(25,935</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(25,935</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Weighted average shares outstanding, basic</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SC</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SC</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and diluted</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7,837,177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14,402,525</w:t>
            </w: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22,239,702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199" w:lineRule="exact"/>
              <w:rPr>
                <w:sz w:val="20"/>
                <w:szCs w:val="20"/>
                <w:color w:val="auto"/>
              </w:rPr>
            </w:pPr>
            <w:r>
              <w:rPr>
                <w:rFonts w:ascii="Times New Roman" w:cs="Times New Roman" w:eastAsia="Times New Roman" w:hAnsi="Times New Roman"/>
                <w:sz w:val="12"/>
                <w:szCs w:val="12"/>
                <w:color w:val="auto"/>
              </w:rPr>
              <w:t>(2,598,025</w:t>
            </w:r>
            <w:r>
              <w:rPr>
                <w:rFonts w:ascii="Times New Roman" w:cs="Times New Roman" w:eastAsia="Times New Roman" w:hAnsi="Times New Roman"/>
                <w:sz w:val="22"/>
                <w:szCs w:val="22"/>
                <w:color w:val="auto"/>
                <w:vertAlign w:val="superscript"/>
              </w:rPr>
              <w:t>)</w:t>
            </w: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19,641,677</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Basic and diluted net income (loss) per</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7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0.38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gridSpan w:val="2"/>
          </w:tcPr>
          <w:p>
            <w:pPr>
              <w:jc w:val="right"/>
              <w:ind w:right="88"/>
              <w:spacing w:after="0" w:line="200" w:lineRule="exact"/>
              <w:rPr>
                <w:sz w:val="20"/>
                <w:szCs w:val="20"/>
                <w:color w:val="auto"/>
              </w:rPr>
            </w:pPr>
            <w:r>
              <w:rPr>
                <w:rFonts w:ascii="Times New Roman" w:cs="Times New Roman" w:eastAsia="Times New Roman" w:hAnsi="Times New Roman"/>
                <w:sz w:val="13"/>
                <w:szCs w:val="13"/>
                <w:b w:val="1"/>
                <w:bCs w:val="1"/>
                <w:color w:val="auto"/>
              </w:rPr>
              <w:t>(1.17</w:t>
            </w:r>
            <w:r>
              <w:rPr>
                <w:rFonts w:ascii="Times New Roman" w:cs="Times New Roman" w:eastAsia="Times New Roman" w:hAnsi="Times New Roman"/>
                <w:sz w:val="23"/>
                <w:szCs w:val="23"/>
                <w:b w:val="1"/>
                <w:bCs w:val="1"/>
                <w:color w:val="auto"/>
                <w:vertAlign w:val="superscript"/>
              </w:rPr>
              <w: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9"/>
              <w:spacing w:after="0" w:line="200" w:lineRule="exact"/>
              <w:rPr>
                <w:sz w:val="20"/>
                <w:szCs w:val="20"/>
                <w:color w:val="auto"/>
              </w:rPr>
            </w:pPr>
            <w:r>
              <w:rPr>
                <w:rFonts w:ascii="Times New Roman" w:cs="Times New Roman" w:eastAsia="Times New Roman" w:hAnsi="Times New Roman"/>
                <w:sz w:val="13"/>
                <w:szCs w:val="13"/>
                <w:b w:val="1"/>
                <w:bCs w:val="1"/>
                <w:color w:val="auto"/>
              </w:rPr>
              <w:t>(1.32</w:t>
            </w:r>
            <w:r>
              <w:rPr>
                <w:rFonts w:ascii="Times New Roman" w:cs="Times New Roman" w:eastAsia="Times New Roman" w:hAnsi="Times New Roman"/>
                <w:sz w:val="23"/>
                <w:szCs w:val="23"/>
                <w:b w:val="1"/>
                <w:bCs w:val="1"/>
                <w:color w:val="auto"/>
                <w:vertAlign w:val="superscript"/>
              </w:rPr>
              <w:t>)</w:t>
            </w:r>
          </w:p>
        </w:tc>
        <w:tc>
          <w:tcPr>
            <w:tcW w:w="0" w:type="dxa"/>
            <w:vAlign w:val="bottom"/>
          </w:tcPr>
          <w:p>
            <w:pPr>
              <w:spacing w:after="0"/>
              <w:rPr>
                <w:sz w:val="1"/>
                <w:szCs w:val="1"/>
                <w:color w:val="auto"/>
              </w:rPr>
            </w:pPr>
          </w:p>
        </w:tc>
      </w:tr>
      <w:tr>
        <w:trPr>
          <w:trHeight w:val="79"/>
        </w:trPr>
        <w:tc>
          <w:tcPr>
            <w:tcW w:w="2760" w:type="dxa"/>
            <w:vAlign w:val="bottom"/>
            <w:tcBorders>
              <w:top w:val="single" w:sz="8" w:color="CCEEFF"/>
            </w:tcBorders>
            <w:shd w:val="clear" w:color="auto" w:fill="CCEEFF"/>
          </w:tcPr>
          <w:p>
            <w:pPr>
              <w:ind w:left="180"/>
              <w:spacing w:after="0" w:line="79" w:lineRule="exact"/>
              <w:rPr>
                <w:sz w:val="20"/>
                <w:szCs w:val="20"/>
                <w:color w:val="auto"/>
              </w:rPr>
            </w:pPr>
            <w:r>
              <w:rPr>
                <w:rFonts w:ascii="Times New Roman" w:cs="Times New Roman" w:eastAsia="Times New Roman" w:hAnsi="Times New Roman"/>
                <w:sz w:val="9"/>
                <w:szCs w:val="9"/>
                <w:color w:val="auto"/>
              </w:rPr>
              <w:t>Weighted average shares outstanding,</w:t>
            </w: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SC</w:t>
            </w:r>
          </w:p>
        </w:tc>
        <w:tc>
          <w:tcPr>
            <w:tcW w:w="100" w:type="dxa"/>
            <w:vAlign w:val="bottom"/>
            <w:tcBorders>
              <w:top w:val="single" w:sz="8" w:color="auto"/>
            </w:tcBorders>
            <w:shd w:val="clear" w:color="auto" w:fill="CCEEFF"/>
          </w:tcPr>
          <w:p>
            <w:pPr>
              <w:spacing w:after="0"/>
              <w:rPr>
                <w:sz w:val="6"/>
                <w:szCs w:val="6"/>
                <w:color w:val="auto"/>
              </w:rPr>
            </w:pPr>
          </w:p>
        </w:tc>
        <w:tc>
          <w:tcPr>
            <w:tcW w:w="10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SC</w:t>
            </w:r>
          </w:p>
        </w:tc>
        <w:tc>
          <w:tcPr>
            <w:tcW w:w="100" w:type="dxa"/>
            <w:vAlign w:val="bottom"/>
            <w:tcBorders>
              <w:top w:val="single" w:sz="8" w:color="auto"/>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7,837,177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14,402,525</w:t>
            </w: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22,239,702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199" w:lineRule="exact"/>
              <w:rPr>
                <w:sz w:val="20"/>
                <w:szCs w:val="20"/>
                <w:color w:val="auto"/>
              </w:rPr>
            </w:pPr>
            <w:r>
              <w:rPr>
                <w:rFonts w:ascii="Times New Roman" w:cs="Times New Roman" w:eastAsia="Times New Roman" w:hAnsi="Times New Roman"/>
                <w:sz w:val="12"/>
                <w:szCs w:val="12"/>
                <w:color w:val="auto"/>
              </w:rPr>
              <w:t>(2,598,025</w:t>
            </w:r>
            <w:r>
              <w:rPr>
                <w:rFonts w:ascii="Times New Roman" w:cs="Times New Roman" w:eastAsia="Times New Roman" w:hAnsi="Times New Roman"/>
                <w:sz w:val="22"/>
                <w:szCs w:val="22"/>
                <w:color w:val="auto"/>
                <w:vertAlign w:val="superscript"/>
              </w:rPr>
              <w:t>)</w:t>
            </w: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19,641,677</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Diluted net (loss) income per share</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169"/>
        </w:trPr>
        <w:tc>
          <w:tcPr>
            <w:tcW w:w="276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0.38</w:t>
            </w:r>
          </w:p>
        </w:tc>
        <w:tc>
          <w:tcPr>
            <w:tcW w:w="1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(1.17</w:t>
            </w:r>
          </w:p>
        </w:tc>
        <w:tc>
          <w:tcPr>
            <w:tcW w:w="2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(1.32</w:t>
            </w: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76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Weighted average number of common shares</w:t>
            </w: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outstanding</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38,042,870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Loss per share, basic and fully diluted</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6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(0.76</w:t>
            </w: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CONDENSED COMBINED PRO FORMA STATEMENT OF OPERATIONS TWELVE MONTHS ENDED DECEMBER 31, 2021 (in thousands, except share and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9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80" w:type="dxa"/>
            <w:vAlign w:val="bottom"/>
            <w:vMerge w:val="restart"/>
          </w:tcPr>
          <w:p>
            <w:pPr>
              <w:jc w:val="center"/>
              <w:ind w:left="5248"/>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380" w:type="dxa"/>
            <w:vAlign w:val="bottom"/>
          </w:tcPr>
          <w:p>
            <w:pPr>
              <w:spacing w:after="0"/>
              <w:rPr>
                <w:sz w:val="12"/>
                <w:szCs w:val="12"/>
                <w:color w:val="auto"/>
              </w:rPr>
            </w:pPr>
          </w:p>
        </w:tc>
        <w:tc>
          <w:tcPr>
            <w:tcW w:w="1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4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6980" w:type="dxa"/>
            <w:vAlign w:val="bottom"/>
          </w:tcPr>
          <w:p>
            <w:pPr>
              <w:jc w:val="center"/>
              <w:ind w:left="524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3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tcPr>
          <w:p>
            <w:pPr>
              <w:jc w:val="center"/>
              <w:ind w:left="5248"/>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380" w:type="dxa"/>
            <w:vAlign w:val="bottom"/>
            <w:vMerge w:val="continue"/>
          </w:tcPr>
          <w:p>
            <w:pPr>
              <w:spacing w:after="0"/>
              <w:rPr>
                <w:sz w:val="12"/>
                <w:szCs w:val="12"/>
                <w:color w:val="auto"/>
              </w:rPr>
            </w:pPr>
          </w:p>
        </w:tc>
        <w:tc>
          <w:tcPr>
            <w:tcW w:w="1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1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67"/>
        </w:trPr>
        <w:tc>
          <w:tcPr>
            <w:tcW w:w="6980" w:type="dxa"/>
            <w:vAlign w:val="bottom"/>
          </w:tcPr>
          <w:p>
            <w:pPr>
              <w:jc w:val="center"/>
              <w:ind w:left="5248"/>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13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4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4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Coeptis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399"/>
              <w:spacing w:after="0" w:line="131" w:lineRule="exact"/>
              <w:rPr>
                <w:sz w:val="20"/>
                <w:szCs w:val="20"/>
                <w:color w:val="auto"/>
              </w:rPr>
            </w:pPr>
            <w:r>
              <w:rPr>
                <w:rFonts w:ascii="Times New Roman" w:cs="Times New Roman" w:eastAsia="Times New Roman" w:hAnsi="Times New Roman"/>
                <w:sz w:val="14"/>
                <w:szCs w:val="14"/>
                <w:b w:val="1"/>
                <w:bCs w:val="1"/>
                <w:color w:val="auto"/>
              </w:rPr>
              <w:t>Bullhorn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219"/>
              <w:spacing w:after="0" w:line="131"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248"/>
              <w:spacing w:after="0" w:line="131"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100" w:type="dxa"/>
            <w:vAlign w:val="bottom"/>
          </w:tcPr>
          <w:p>
            <w:pPr>
              <w:spacing w:after="0"/>
              <w:rPr>
                <w:sz w:val="11"/>
                <w:szCs w:val="11"/>
                <w:color w:val="auto"/>
              </w:rPr>
            </w:pPr>
          </w:p>
        </w:tc>
        <w:tc>
          <w:tcPr>
            <w:tcW w:w="1020" w:type="dxa"/>
            <w:vAlign w:val="bottom"/>
          </w:tcPr>
          <w:p>
            <w:pPr>
              <w:jc w:val="right"/>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299"/>
              <w:spacing w:after="0" w:line="13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3"/>
        </w:trPr>
        <w:tc>
          <w:tcPr>
            <w:tcW w:w="2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color w:val="auto"/>
              </w:rPr>
              <w:t>Sales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(Note 4 - PF)</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(Note 4 - PF)</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42"/>
        </w:trPr>
        <w:tc>
          <w:tcPr>
            <w:tcW w:w="2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Consulting Services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Cost of revenue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820" w:type="dxa"/>
            <w:vAlign w:val="bottom"/>
            <w:tcBorders>
              <w:top w:val="single" w:sz="8" w:color="CCEEFF"/>
            </w:tcBorders>
            <w:shd w:val="clear" w:color="auto" w:fill="CCEEFF"/>
          </w:tcPr>
          <w:p>
            <w:pPr>
              <w:jc w:val="center"/>
              <w:ind w:right="3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14,118</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14,118</w:t>
            </w:r>
          </w:p>
        </w:tc>
        <w:tc>
          <w:tcPr>
            <w:tcW w:w="0" w:type="dxa"/>
            <w:vAlign w:val="bottom"/>
          </w:tcPr>
          <w:p>
            <w:pPr>
              <w:spacing w:after="0"/>
              <w:rPr>
                <w:sz w:val="1"/>
                <w:szCs w:val="1"/>
                <w:color w:val="auto"/>
              </w:rPr>
            </w:pPr>
          </w:p>
        </w:tc>
      </w:tr>
      <w:tr>
        <w:trPr>
          <w:trHeight w:val="148"/>
        </w:trPr>
        <w:tc>
          <w:tcPr>
            <w:tcW w:w="282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Selling and marketing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Operating expenses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3,751</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4,619</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4,619</w:t>
            </w:r>
          </w:p>
        </w:tc>
        <w:tc>
          <w:tcPr>
            <w:tcW w:w="0" w:type="dxa"/>
            <w:vAlign w:val="bottom"/>
          </w:tcPr>
          <w:p>
            <w:pPr>
              <w:spacing w:after="0"/>
              <w:rPr>
                <w:sz w:val="1"/>
                <w:szCs w:val="1"/>
                <w:color w:val="auto"/>
              </w:rPr>
            </w:pPr>
          </w:p>
        </w:tc>
      </w:tr>
      <w:tr>
        <w:trPr>
          <w:trHeight w:val="142"/>
        </w:trPr>
        <w:tc>
          <w:tcPr>
            <w:tcW w:w="2820" w:type="dxa"/>
            <w:vAlign w:val="bottom"/>
            <w:tcBorders>
              <w:bottom w:val="single" w:sz="8" w:color="CCEEFF"/>
            </w:tcBorders>
          </w:tcPr>
          <w:p>
            <w:pPr>
              <w:jc w:val="center"/>
              <w:ind w:right="3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14,308</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3,751</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18,740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18,740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jc w:val="center"/>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(14,233</w:t>
            </w:r>
          </w:p>
        </w:tc>
        <w:tc>
          <w:tcPr>
            <w:tcW w:w="1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(681</w:t>
            </w:r>
          </w:p>
        </w:tc>
        <w:tc>
          <w:tcPr>
            <w:tcW w:w="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(3,751</w:t>
            </w:r>
          </w:p>
        </w:tc>
        <w:tc>
          <w:tcPr>
            <w:tcW w:w="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(18,665</w:t>
            </w:r>
          </w:p>
        </w:tc>
        <w:tc>
          <w:tcPr>
            <w:tcW w:w="22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(18,665</w:t>
            </w:r>
          </w:p>
        </w:tc>
        <w:tc>
          <w:tcPr>
            <w:tcW w:w="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Royalties and licensing fees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48"/>
        </w:trPr>
        <w:tc>
          <w:tcPr>
            <w:tcW w:w="282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Licensing income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48"/>
        </w:trPr>
        <w:tc>
          <w:tcPr>
            <w:tcW w:w="282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Gain (loss)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15,903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15,903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15,903</w:t>
            </w:r>
          </w:p>
        </w:tc>
        <w:tc>
          <w:tcPr>
            <w:tcW w:w="0" w:type="dxa"/>
            <w:vAlign w:val="bottom"/>
          </w:tcPr>
          <w:p>
            <w:pPr>
              <w:spacing w:after="0"/>
              <w:rPr>
                <w:sz w:val="1"/>
                <w:szCs w:val="1"/>
                <w:color w:val="auto"/>
              </w:rPr>
            </w:pPr>
          </w:p>
        </w:tc>
      </w:tr>
      <w:tr>
        <w:trPr>
          <w:trHeight w:val="126"/>
        </w:trPr>
        <w:tc>
          <w:tcPr>
            <w:tcW w:w="2820" w:type="dxa"/>
            <w:vAlign w:val="bottom"/>
          </w:tcPr>
          <w:p>
            <w:pPr>
              <w:jc w:val="center"/>
              <w:ind w:right="30"/>
              <w:spacing w:after="0" w:line="126" w:lineRule="exact"/>
              <w:rPr>
                <w:sz w:val="20"/>
                <w:szCs w:val="20"/>
                <w:color w:val="auto"/>
              </w:rPr>
            </w:pPr>
            <w:r>
              <w:rPr>
                <w:rFonts w:ascii="Times New Roman" w:cs="Times New Roman" w:eastAsia="Times New Roman" w:hAnsi="Times New Roman"/>
                <w:sz w:val="14"/>
                <w:szCs w:val="14"/>
                <w:color w:val="auto"/>
              </w:rPr>
              <w:t>Interest earned on investments held in Trust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8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Account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820" w:type="dxa"/>
            <w:vAlign w:val="bottom"/>
            <w:tcBorders>
              <w:top w:val="single" w:sz="8" w:color="CCEEFF"/>
            </w:tcBorders>
            <w:shd w:val="clear" w:color="auto" w:fill="CCEEFF"/>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Loss before taxes</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(13,449)</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15,230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(3,759)</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(1,978)</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Benefit (provision) for taxes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820" w:type="dxa"/>
            <w:vAlign w:val="bottom"/>
            <w:tcBorders>
              <w:top w:val="single" w:sz="8" w:color="CCEEFF"/>
              <w:bottom w:val="single" w:sz="8" w:color="CCEEFF"/>
            </w:tcBorders>
            <w:shd w:val="clear" w:color="auto" w:fill="CCEEFF"/>
          </w:tcPr>
          <w:p>
            <w:pPr>
              <w:jc w:val="center"/>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(13,449</w:t>
            </w:r>
          </w:p>
        </w:tc>
        <w:tc>
          <w:tcPr>
            <w:tcW w:w="140" w:type="dxa"/>
            <w:vAlign w:val="bottom"/>
            <w:tcBorders>
              <w:top w:val="single" w:sz="8" w:color="CCEEFF"/>
              <w:bottom w:val="single" w:sz="8" w:color="CCEEFF"/>
            </w:tcBorders>
            <w:gridSpan w:val="2"/>
            <w:shd w:val="clear" w:color="auto" w:fill="CCEEFF"/>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15,230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(3,759</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(1,978</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(1,978</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820" w:type="dxa"/>
            <w:vAlign w:val="bottom"/>
            <w:shd w:val="clear" w:color="auto" w:fill="CCEEFF"/>
          </w:tcPr>
          <w:p>
            <w:pPr>
              <w:jc w:val="center"/>
              <w:ind w:right="30"/>
              <w:spacing w:after="0" w:line="124" w:lineRule="exact"/>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basic and diluted</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9,375,000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12,864,702</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22,239,702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(2,598,025‌</w:t>
            </w:r>
          </w:p>
        </w:tc>
        <w:tc>
          <w:tcPr>
            <w:tcW w:w="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19,641,677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jc w:val="center"/>
              <w:ind w:right="30"/>
              <w:spacing w:after="0" w:line="124" w:lineRule="exact"/>
              <w:rPr>
                <w:sz w:val="20"/>
                <w:szCs w:val="20"/>
                <w:color w:val="auto"/>
              </w:rPr>
            </w:pPr>
            <w:r>
              <w:rPr>
                <w:rFonts w:ascii="Times New Roman" w:cs="Times New Roman" w:eastAsia="Times New Roman" w:hAnsi="Times New Roman"/>
                <w:sz w:val="14"/>
                <w:szCs w:val="14"/>
                <w:b w:val="1"/>
                <w:bCs w:val="1"/>
                <w:color w:val="auto"/>
              </w:rPr>
              <w:t>Basic and diluted net income (loss) per</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8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28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1.62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jc w:val="right"/>
              <w:ind w:right="88"/>
              <w:spacing w:after="0" w:line="200" w:lineRule="exact"/>
              <w:rPr>
                <w:sz w:val="20"/>
                <w:szCs w:val="20"/>
                <w:color w:val="auto"/>
              </w:rPr>
            </w:pPr>
            <w:r>
              <w:rPr>
                <w:rFonts w:ascii="Times New Roman" w:cs="Times New Roman" w:eastAsia="Times New Roman" w:hAnsi="Times New Roman"/>
                <w:sz w:val="13"/>
                <w:szCs w:val="13"/>
                <w:b w:val="1"/>
                <w:bCs w:val="1"/>
                <w:color w:val="auto"/>
              </w:rPr>
              <w:t>(0.09</w:t>
            </w:r>
            <w:r>
              <w:rPr>
                <w:rFonts w:ascii="Times New Roman" w:cs="Times New Roman" w:eastAsia="Times New Roman" w:hAnsi="Times New Roman"/>
                <w:sz w:val="23"/>
                <w:szCs w:val="23"/>
                <w:b w:val="1"/>
                <w:bCs w:val="1"/>
                <w:color w:val="auto"/>
                <w:vertAlign w:val="superscript"/>
              </w:rPr>
              <w: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9"/>
              <w:spacing w:after="0" w:line="200" w:lineRule="exact"/>
              <w:rPr>
                <w:sz w:val="20"/>
                <w:szCs w:val="20"/>
                <w:color w:val="auto"/>
              </w:rPr>
            </w:pPr>
            <w:r>
              <w:rPr>
                <w:rFonts w:ascii="Times New Roman" w:cs="Times New Roman" w:eastAsia="Times New Roman" w:hAnsi="Times New Roman"/>
                <w:sz w:val="13"/>
                <w:szCs w:val="13"/>
                <w:b w:val="1"/>
                <w:bCs w:val="1"/>
                <w:color w:val="auto"/>
              </w:rPr>
              <w:t>(0.10</w:t>
            </w:r>
            <w:r>
              <w:rPr>
                <w:rFonts w:ascii="Times New Roman" w:cs="Times New Roman" w:eastAsia="Times New Roman" w:hAnsi="Times New Roman"/>
                <w:sz w:val="23"/>
                <w:szCs w:val="23"/>
                <w:b w:val="1"/>
                <w:bCs w:val="1"/>
                <w:color w:val="auto"/>
                <w:vertAlign w:val="superscript"/>
              </w:rPr>
              <w:t>)</w:t>
            </w:r>
          </w:p>
        </w:tc>
        <w:tc>
          <w:tcPr>
            <w:tcW w:w="0" w:type="dxa"/>
            <w:vAlign w:val="bottom"/>
          </w:tcPr>
          <w:p>
            <w:pPr>
              <w:spacing w:after="0"/>
              <w:rPr>
                <w:sz w:val="1"/>
                <w:szCs w:val="1"/>
                <w:color w:val="auto"/>
              </w:rPr>
            </w:pPr>
          </w:p>
        </w:tc>
      </w:tr>
      <w:tr>
        <w:trPr>
          <w:trHeight w:val="77"/>
        </w:trPr>
        <w:tc>
          <w:tcPr>
            <w:tcW w:w="2820" w:type="dxa"/>
            <w:vAlign w:val="bottom"/>
            <w:tcBorders>
              <w:top w:val="single" w:sz="8" w:color="CCEEFF"/>
            </w:tcBorders>
            <w:shd w:val="clear" w:color="auto" w:fill="CCEEFF"/>
          </w:tcPr>
          <w:p>
            <w:pPr>
              <w:jc w:val="center"/>
              <w:ind w:right="30"/>
              <w:spacing w:after="0" w:line="78" w:lineRule="exact"/>
              <w:rPr>
                <w:sz w:val="20"/>
                <w:szCs w:val="20"/>
                <w:color w:val="auto"/>
              </w:rPr>
            </w:pPr>
            <w:r>
              <w:rPr>
                <w:rFonts w:ascii="Times New Roman" w:cs="Times New Roman" w:eastAsia="Times New Roman" w:hAnsi="Times New Roman"/>
                <w:sz w:val="8"/>
                <w:szCs w:val="8"/>
                <w:b w:val="1"/>
                <w:bCs w:val="1"/>
                <w:color w:val="auto"/>
              </w:rPr>
              <w:t>Weighted average shares outstanding,</w:t>
            </w: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9,375,000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12,864,702</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22,239,702</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9"/>
              <w:spacing w:after="0" w:line="200" w:lineRule="exact"/>
              <w:rPr>
                <w:sz w:val="20"/>
                <w:szCs w:val="20"/>
                <w:color w:val="auto"/>
              </w:rPr>
            </w:pPr>
            <w:r>
              <w:rPr>
                <w:rFonts w:ascii="Times New Roman" w:cs="Times New Roman" w:eastAsia="Times New Roman" w:hAnsi="Times New Roman"/>
                <w:sz w:val="13"/>
                <w:szCs w:val="13"/>
                <w:b w:val="1"/>
                <w:bCs w:val="1"/>
                <w:color w:val="auto"/>
              </w:rPr>
              <w:t>(2,598,025</w:t>
            </w:r>
            <w:r>
              <w:rPr>
                <w:rFonts w:ascii="Times New Roman" w:cs="Times New Roman" w:eastAsia="Times New Roman" w:hAnsi="Times New Roman"/>
                <w:sz w:val="23"/>
                <w:szCs w:val="23"/>
                <w:b w:val="1"/>
                <w:bCs w:val="1"/>
                <w:color w:val="auto"/>
                <w:vertAlign w:val="superscript"/>
              </w:rPr>
              <w:t>)</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19,641,677‌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Diluted net (loss) income per share</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196"/>
        </w:trPr>
        <w:tc>
          <w:tcPr>
            <w:tcW w:w="2820" w:type="dxa"/>
            <w:vAlign w:val="bottom"/>
            <w:vMerge w:val="continue"/>
          </w:tcPr>
          <w:p>
            <w:pPr>
              <w:spacing w:after="0"/>
              <w:rPr>
                <w:sz w:val="17"/>
                <w:szCs w:val="17"/>
                <w:color w:val="auto"/>
              </w:rPr>
            </w:pPr>
          </w:p>
        </w:tc>
        <w:tc>
          <w:tcPr>
            <w:tcW w:w="160" w:type="dxa"/>
            <w:vAlign w:val="bottom"/>
            <w:gridSpan w:val="2"/>
          </w:tcPr>
          <w:p>
            <w:pPr>
              <w:jc w:val="right"/>
              <w:ind w:right="23"/>
              <w:spacing w:after="0" w:line="15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99"/>
              <w:spacing w:after="0" w:line="156" w:lineRule="exact"/>
              <w:rPr>
                <w:sz w:val="20"/>
                <w:szCs w:val="20"/>
                <w:color w:val="auto"/>
              </w:rPr>
            </w:pPr>
            <w:r>
              <w:rPr>
                <w:rFonts w:ascii="Times New Roman" w:cs="Times New Roman" w:eastAsia="Times New Roman" w:hAnsi="Times New Roman"/>
                <w:sz w:val="14"/>
                <w:szCs w:val="14"/>
                <w:b w:val="1"/>
                <w:bCs w:val="1"/>
                <w:color w:val="auto"/>
              </w:rPr>
              <w:t>1.62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(0.09</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(0.10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820" w:type="dxa"/>
            <w:vAlign w:val="bottom"/>
            <w:tcBorders>
              <w:top w:val="single" w:sz="8" w:color="CCEEFF"/>
            </w:tcBorders>
            <w:shd w:val="clear" w:color="auto" w:fill="CCEEFF"/>
          </w:tcPr>
          <w:p>
            <w:pPr>
              <w:jc w:val="center"/>
              <w:ind w:right="50"/>
              <w:spacing w:after="0" w:line="78" w:lineRule="exact"/>
              <w:rPr>
                <w:sz w:val="20"/>
                <w:szCs w:val="20"/>
                <w:color w:val="auto"/>
              </w:rPr>
            </w:pPr>
            <w:r>
              <w:rPr>
                <w:rFonts w:ascii="Times New Roman" w:cs="Times New Roman" w:eastAsia="Times New Roman" w:hAnsi="Times New Roman"/>
                <w:sz w:val="8"/>
                <w:szCs w:val="8"/>
                <w:b w:val="1"/>
                <w:bCs w:val="1"/>
                <w:color w:val="auto"/>
              </w:rPr>
              <w:t>Weighted average number of common</w:t>
            </w: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32,400,101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Loss per share, basic and fully diluted</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(0.42</w:t>
            </w:r>
          </w:p>
        </w:tc>
        <w:tc>
          <w:tcPr>
            <w:tcW w:w="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225" w:lineRule="exact"/>
        <w:rPr>
          <w:sz w:val="20"/>
          <w:szCs w:val="20"/>
          <w:color w:val="auto"/>
        </w:rPr>
      </w:pPr>
    </w:p>
    <w:p>
      <w:pPr>
        <w:ind w:left="460" w:hanging="452"/>
        <w:spacing w:after="0"/>
        <w:tabs>
          <w:tab w:leader="none" w:pos="4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adjusted to give effect to transaction accounting adjustments related to the Business Combination linking the effects of the Business Combination to the historical financial information.</w:t>
      </w:r>
    </w:p>
    <w:p>
      <w:pPr>
        <w:spacing w:after="0" w:line="16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Coeptis has been determined to be the accounting acquirer under both the no redemption and the maximum redemption scenarios as Coeptis owners before the Business Combination will retain a majority financial interest after the Business Combination. Under the reverse recapitalization model, the Business Combination will be treated as Coeptis issuing equity for the net assets of Bull Horn, with no goodwill or intangible assets recorded.</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pro forma adjustments have been prepared as if the Business Combination had been consummated on June 30, 2022, in the case of the unaudited pro forma condensed combined balance sheet, and on January 1, 2021, the beginning of the earliest period presented, in the case of the unaudited pro forma condensed combined statements of operations.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 forma combined balance sheet as of June 30, 2022 has been prepared using the following:</w:t>
      </w:r>
    </w:p>
    <w:p>
      <w:pPr>
        <w:spacing w:after="0" w:line="225" w:lineRule="exact"/>
        <w:rPr>
          <w:sz w:val="20"/>
          <w:szCs w:val="20"/>
          <w:color w:val="auto"/>
        </w:rPr>
      </w:pPr>
    </w:p>
    <w:p>
      <w:pPr>
        <w:ind w:left="880" w:hanging="440"/>
        <w:spacing w:after="0"/>
        <w:tabs>
          <w:tab w:leader="none" w:pos="8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historical condensed consolidated balance sheet as of June 30, 2022, as included elsewhere in this proxy statement</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Bull Horn’s historical condensed balance sheet as of June 30, 2022, as included elsewhere in this proxy statement.</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 forma combined statement of operations for the six months ended June 30, 2022 has been prepared using the following:</w:t>
      </w:r>
    </w:p>
    <w:p>
      <w:pPr>
        <w:spacing w:after="0" w:line="252" w:lineRule="exact"/>
        <w:rPr>
          <w:sz w:val="20"/>
          <w:szCs w:val="20"/>
          <w:color w:val="auto"/>
        </w:rPr>
      </w:pPr>
    </w:p>
    <w:p>
      <w:pPr>
        <w:ind w:left="880" w:right="100" w:hanging="440"/>
        <w:spacing w:after="0" w:line="282" w:lineRule="auto"/>
        <w:tabs>
          <w:tab w:leader="none" w:pos="8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historical condensed consolidated statement of operations for the six months ended June 30, 2022, as included elsewhere in this proxy statement.</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Bull Horn’s condensed statement of operations for the six months ended June 30, 2022, as included elsewhere in this proxy statement.</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 forma combined statement of operations for the year ended December 31, 2021 has been prepared using the following:</w:t>
      </w:r>
    </w:p>
    <w:p>
      <w:pPr>
        <w:spacing w:after="0" w:line="252" w:lineRule="exact"/>
        <w:rPr>
          <w:sz w:val="20"/>
          <w:szCs w:val="20"/>
          <w:color w:val="auto"/>
        </w:rPr>
      </w:pPr>
    </w:p>
    <w:p>
      <w:pPr>
        <w:ind w:left="880" w:hanging="440"/>
        <w:spacing w:after="0"/>
        <w:tabs>
          <w:tab w:leader="none" w:pos="8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condensed historical statement of operations for the year ended December 31, 2021, as included elsewhere in this proxy statement.</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Bull Horn’s statement of operations for the year ended December 31, 2021, as included elsewhere in this proxy statement.</w:t>
      </w:r>
    </w:p>
    <w:p>
      <w:pPr>
        <w:spacing w:after="0" w:line="225" w:lineRule="exact"/>
        <w:rPr>
          <w:sz w:val="20"/>
          <w:szCs w:val="20"/>
          <w:color w:val="auto"/>
        </w:rPr>
      </w:pPr>
    </w:p>
    <w:p>
      <w:pPr>
        <w:ind w:right="400" w:firstLine="432"/>
        <w:spacing w:after="0" w:line="261" w:lineRule="auto"/>
        <w:rPr>
          <w:sz w:val="20"/>
          <w:szCs w:val="20"/>
          <w:color w:val="auto"/>
        </w:rPr>
      </w:pPr>
      <w:r>
        <w:rPr>
          <w:rFonts w:ascii="Times New Roman" w:cs="Times New Roman" w:eastAsia="Times New Roman" w:hAnsi="Times New Roman"/>
          <w:sz w:val="18"/>
          <w:szCs w:val="18"/>
          <w:color w:val="auto"/>
        </w:rPr>
        <w:t>The adjustments presented in the unaudited pro forma condensed combined financial information have been identified and presented to provide relevant information necessary for an accurate understanding of the Company after giving effect to the Business Combination.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8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are based on certain currently available information and certain assumptions and methodologies that management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38" w:name="page39"/>
    <w:bookmarkEnd w:id="38"/>
    <w:p>
      <w:pPr>
        <w:ind w:firstLine="432"/>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Company. They should be read in conjunction with the historical financial statements and notes thereto of Coeptis and Bull Horn.</w:t>
      </w:r>
    </w:p>
    <w:p>
      <w:pPr>
        <w:spacing w:after="0" w:line="176" w:lineRule="exact"/>
        <w:rPr>
          <w:sz w:val="20"/>
          <w:szCs w:val="20"/>
          <w:color w:val="auto"/>
        </w:rPr>
      </w:pPr>
    </w:p>
    <w:p>
      <w:pPr>
        <w:ind w:left="400" w:hanging="392"/>
        <w:spacing w:after="0"/>
        <w:tabs>
          <w:tab w:leader="none" w:pos="4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Balance Sheets as of June 30, 2022</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Transaction Accounting Adjustments included in the unaudited pro forma condensed combined balance sheet as of June 30, 2022 are as follows:</w:t>
      </w:r>
    </w:p>
    <w:p>
      <w:pPr>
        <w:spacing w:after="0" w:line="225" w:lineRule="exact"/>
        <w:rPr>
          <w:sz w:val="20"/>
          <w:szCs w:val="20"/>
          <w:color w:val="auto"/>
        </w:rPr>
      </w:pPr>
    </w:p>
    <w:p>
      <w:pPr>
        <w:ind w:left="860" w:hanging="420"/>
        <w:spacing w:after="0"/>
        <w:tabs>
          <w:tab w:leader="none" w:pos="8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balance sheet of Coeptis as of June 30, 2022.</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balance sheet of Bull Horn as of June 30, 2022.</w:t>
      </w:r>
    </w:p>
    <w:p>
      <w:pPr>
        <w:spacing w:after="0" w:line="225" w:lineRule="exact"/>
        <w:rPr>
          <w:sz w:val="20"/>
          <w:szCs w:val="20"/>
          <w:color w:val="auto"/>
        </w:rPr>
      </w:pPr>
    </w:p>
    <w:p>
      <w:pPr>
        <w:ind w:left="880" w:hanging="440"/>
        <w:spacing w:after="0"/>
        <w:tabs>
          <w:tab w:leader="none" w:pos="8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cash from marketable securities held in the trust account.</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880" w:right="80" w:hanging="440"/>
        <w:spacing w:after="0" w:line="256" w:lineRule="auto"/>
        <w:tabs>
          <w:tab w:leader="none" w:pos="88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Scenario 1, which assumes no Bull Horn shareholders exercise their redemption rights, the ordinary shares subject to redemption for cash amounting to $33 million would be transferred to permanent equity. In Scenario 2, which assumes the same facts as described in Item 1 above, but also assumes the maximum number of shares are redeemed for cash by the Bull Horn shareholders, $26.4 million would be paid out in cash. The $26.4 million, or 2,598,025 shares, represents the maximum redemption amount, assuming a minimum net tangible asset value of $5,000,001, after giving effect to payments to redeeming shareholders based on a consummation of the Business Combination on June 30, 2022.</w:t>
      </w:r>
    </w:p>
    <w:p>
      <w:pPr>
        <w:spacing w:after="0" w:line="187" w:lineRule="exact"/>
        <w:rPr>
          <w:rFonts w:ascii="Times New Roman" w:cs="Times New Roman" w:eastAsia="Times New Roman" w:hAnsi="Times New Roman"/>
          <w:sz w:val="18"/>
          <w:szCs w:val="18"/>
          <w:color w:val="auto"/>
        </w:rPr>
      </w:pPr>
    </w:p>
    <w:p>
      <w:pPr>
        <w:ind w:left="880" w:right="40" w:hanging="440"/>
        <w:spacing w:after="0" w:line="255" w:lineRule="auto"/>
        <w:tabs>
          <w:tab w:leader="none" w:pos="87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aggregate of $7.2 million of transaction expenses to be paid related to the Business Combination, including the prepayment of $0.25 million of directors’ and officers’ insurance premium, the payment of $0.5 million in underwriting fees, the payment of $0.9 million of accrued transaction expenses and approximately $5.55 million of other costs which represents estimated legal, financial advisory and other professional fees expected to be incurred prior to the Closing of the Business Combination. The reduction of $2.25 million of deferred underwriting fees including $0.5 million in underwriting fees to be paid at closing (discussed above) and the forgiveness of $1.75 million as a result of an agreement between the Company and its IPO underwriters. The forgiveness of $1.75 million deferred underwriting fees is recorded as a gain (offsetting transaction expenses) in the pro forma income statement.</w:t>
      </w:r>
    </w:p>
    <w:p>
      <w:pPr>
        <w:spacing w:after="0" w:line="188" w:lineRule="exact"/>
        <w:rPr>
          <w:rFonts w:ascii="Times New Roman" w:cs="Times New Roman" w:eastAsia="Times New Roman" w:hAnsi="Times New Roman"/>
          <w:sz w:val="18"/>
          <w:szCs w:val="18"/>
          <w:color w:val="auto"/>
        </w:rPr>
      </w:pPr>
    </w:p>
    <w:p>
      <w:pPr>
        <w:ind w:left="880" w:right="380" w:hanging="440"/>
        <w:spacing w:after="0" w:line="261" w:lineRule="auto"/>
        <w:tabs>
          <w:tab w:leader="none" w:pos="83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recapitalization of Coeptis through (a) the contribution of all the share capital in Coeptis to Company Common Stock, (b) the issuance of 17,123,288 shares of Company Common Stock, (c) the elimination of the historical accumulated deficit of Bull Horn of</w:t>
      </w:r>
    </w:p>
    <w:p>
      <w:pPr>
        <w:ind w:left="88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the accounting acquiree and (d) the conversion of 1,875,000 founder shares outstanding in Bull Horn to the Company Common Stock, on a one-for-one basis, at the consummation of the Business Combination.</w:t>
      </w:r>
    </w:p>
    <w:p>
      <w:pPr>
        <w:spacing w:after="0" w:line="181" w:lineRule="exact"/>
        <w:rPr>
          <w:rFonts w:ascii="Times New Roman" w:cs="Times New Roman" w:eastAsia="Times New Roman" w:hAnsi="Times New Roman"/>
          <w:sz w:val="18"/>
          <w:szCs w:val="18"/>
          <w:color w:val="auto"/>
        </w:rPr>
      </w:pPr>
    </w:p>
    <w:p>
      <w:pPr>
        <w:ind w:left="880" w:hanging="440"/>
        <w:spacing w:after="0" w:line="273" w:lineRule="auto"/>
        <w:tabs>
          <w:tab w:leader="none" w:pos="83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unaudited pro-forma condensed combined balanced sheet assumes the continued classification of the Company’s warrants as liabilities. The final determination of the classification and value of the Company’s warrants will be determined after the completion of a thorough analysis prior to the consummation of the Business Combination. Accordingly, the final acquisition accounting adjustments could differ materially from the unaudited pro forma adjustments presented herein. Similarly, the unaudited pro forma condensed combined statement of operations do not contain any pro-forma adjustment resulting from a determination that the Company’s warrants should be equity classified. The pro-forma condensed combined balance sheet does not include any amount for the Assumed Warrants to purchase 1,552,676 shares, as it has been determined that these warrants meet the requirements for equity classification subsequent to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39" w:name="page40"/>
    <w:bookmarkEnd w:id="39"/>
    <w:p>
      <w:pPr>
        <w:ind w:left="880" w:right="120" w:hanging="440"/>
        <w:spacing w:after="0" w:line="282" w:lineRule="auto"/>
        <w:tabs>
          <w:tab w:leader="none" w:pos="83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loan from the sponsor to fund the extension of time to complete the proposed Business Combination and the expected repayment of the loan at closing as of July 15, 2022.</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repayment of advances and a convertible promissory note to the sponsor upon the consummation of the Business Combination.</w:t>
      </w:r>
    </w:p>
    <w:p>
      <w:pPr>
        <w:spacing w:after="0" w:line="225" w:lineRule="exact"/>
        <w:rPr>
          <w:rFonts w:ascii="Times New Roman" w:cs="Times New Roman" w:eastAsia="Times New Roman" w:hAnsi="Times New Roman"/>
          <w:sz w:val="18"/>
          <w:szCs w:val="18"/>
          <w:color w:val="auto"/>
        </w:rPr>
      </w:pPr>
    </w:p>
    <w:p>
      <w:pPr>
        <w:ind w:left="880" w:right="60" w:hanging="440"/>
        <w:spacing w:after="0" w:line="266" w:lineRule="auto"/>
        <w:tabs>
          <w:tab w:leader="none" w:pos="88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receipt of $4,192,074 by Coeptis since June 30, 2022 from (a) the sale of 550,000 shares of Coeptis common stock to an investor at $2.40 a share in connection with an offering of its common stock conducted in reliance upon an exemption from registration pursuant to Regulation A and (b) the issuance of 1,914,716 shares of Coeptis common stock upon the exercise of warrants at $1.50 a share.</w:t>
      </w:r>
    </w:p>
    <w:p>
      <w:pPr>
        <w:spacing w:after="0" w:line="171" w:lineRule="exact"/>
        <w:rPr>
          <w:rFonts w:ascii="Times New Roman" w:cs="Times New Roman" w:eastAsia="Times New Roman" w:hAnsi="Times New Roman"/>
          <w:sz w:val="18"/>
          <w:szCs w:val="18"/>
          <w:color w:val="auto"/>
        </w:rPr>
      </w:pPr>
    </w:p>
    <w:p>
      <w:pPr>
        <w:ind w:left="440" w:hanging="432"/>
        <w:spacing w:after="0" w:line="286" w:lineRule="auto"/>
        <w:tabs>
          <w:tab w:leader="none" w:pos="493"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Statement of Operations for the Six Months Ended June 30, 2022 and the Year Ended December 31, 2021</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transaction accounting adjustments included in the unaudited pro forma condensed combined statements of operations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December 30, 2021 are as follows:</w:t>
      </w:r>
    </w:p>
    <w:p>
      <w:pPr>
        <w:spacing w:after="0" w:line="207" w:lineRule="exact"/>
        <w:rPr>
          <w:sz w:val="20"/>
          <w:szCs w:val="20"/>
          <w:color w:val="auto"/>
        </w:rPr>
      </w:pPr>
    </w:p>
    <w:p>
      <w:pPr>
        <w:ind w:left="860" w:hanging="420"/>
        <w:spacing w:after="0"/>
        <w:tabs>
          <w:tab w:leader="none" w:pos="8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statement of comprehensive loss of Coeptis for the six months ended June 30, 2022.</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statement of operations of Bull Horn for the six months ended June 30, 2022.</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consolidated statement of comprehensive loss of Coeptis for the year ended December 31, 2021.</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statement of operations of Bull Horn for the year ended December 31, 2021.</w:t>
      </w:r>
    </w:p>
    <w:p>
      <w:pPr>
        <w:spacing w:after="0" w:line="225" w:lineRule="exact"/>
        <w:rPr>
          <w:sz w:val="20"/>
          <w:szCs w:val="20"/>
          <w:color w:val="auto"/>
        </w:rPr>
      </w:pPr>
    </w:p>
    <w:p>
      <w:pPr>
        <w:ind w:left="820" w:hanging="380"/>
        <w:spacing w:after="0"/>
        <w:tabs>
          <w:tab w:leader="none" w:pos="8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interest income on marketable securities held in the trust account as of the beginning of the period.</w:t>
      </w:r>
    </w:p>
    <w:p>
      <w:pPr>
        <w:spacing w:after="0" w:line="225" w:lineRule="exact"/>
        <w:rPr>
          <w:rFonts w:ascii="Times New Roman" w:cs="Times New Roman" w:eastAsia="Times New Roman" w:hAnsi="Times New Roman"/>
          <w:sz w:val="18"/>
          <w:szCs w:val="18"/>
          <w:color w:val="auto"/>
        </w:rPr>
      </w:pPr>
    </w:p>
    <w:p>
      <w:pPr>
        <w:ind w:left="880" w:right="200" w:hanging="440"/>
        <w:spacing w:after="0" w:line="261" w:lineRule="auto"/>
        <w:tabs>
          <w:tab w:leader="none" w:pos="83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the effect of the pro forma balance sheet adjustment presented in Entry #2(3) above in the aggregate amount of $3.8 million for the direct, incremental costs of the Business Combination, assuming those adjustments were made as of the beginning of the fiscal period presented. As these costs are directly related to the Business Combination, they are not expected to recur in the income of the Company beyond 12 months after the Business Combination.</w:t>
      </w:r>
    </w:p>
    <w:p>
      <w:pPr>
        <w:spacing w:after="0" w:line="179" w:lineRule="exact"/>
        <w:rPr>
          <w:rFonts w:ascii="Times New Roman" w:cs="Times New Roman" w:eastAsia="Times New Roman" w:hAnsi="Times New Roman"/>
          <w:sz w:val="18"/>
          <w:szCs w:val="18"/>
          <w:color w:val="auto"/>
        </w:rPr>
      </w:pPr>
    </w:p>
    <w:p>
      <w:pPr>
        <w:ind w:left="880" w:hanging="440"/>
        <w:spacing w:after="0" w:line="312" w:lineRule="auto"/>
        <w:tabs>
          <w:tab w:leader="none" w:pos="828"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the blended statutory rate for the domesticated entity post Business Combination would be 21%, the consolidated combined pro forma under both scenarios results in a net loss for tax purposes. As such, a full valuation allowance has been applied resulting in no adjustment.</w:t>
      </w:r>
    </w:p>
    <w:p>
      <w:pPr>
        <w:spacing w:after="0" w:line="139" w:lineRule="exact"/>
        <w:rPr>
          <w:rFonts w:ascii="Times New Roman" w:cs="Times New Roman" w:eastAsia="Times New Roman" w:hAnsi="Times New Roman"/>
          <w:sz w:val="17"/>
          <w:szCs w:val="17"/>
          <w:color w:val="auto"/>
        </w:rPr>
      </w:pPr>
    </w:p>
    <w:p>
      <w:pPr>
        <w:ind w:left="880" w:right="80" w:hanging="440"/>
        <w:spacing w:after="0" w:line="258" w:lineRule="auto"/>
        <w:tabs>
          <w:tab w:leader="none" w:pos="83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weighted average shares outstanding for basic and diluted net income (loss) per share assumes that Bull Horn’s initial public offering occurred as of the beginning of the earliest period presented. In addition, as the Business Combination is being reflected as if it had occurred at the beginning of the periods presented, the calculation of weighted average shares outstanding for basic and diluted net income (loss) per share assumes that the shares have been outstanding for the entire periods presented. This calculation is retroactively adjusted to eliminate the number of shares redeemed for the entire period.</w:t>
      </w:r>
    </w:p>
    <w:p>
      <w:pPr>
        <w:spacing w:after="0" w:line="17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229"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Represents the net income (loss) per share calculated using the historical weighted average shares outstanding, and the issuance of additional shares in connection with the Business Combination and related transactions, assuming the shares were outstanding since January 1, 2021. As the Business Combination and related transactions are being reflected as if they had occurred at the beginning of the period presented, the calculation of weighted average shares outstanding for basic and diluted net loss per share assumes that the shares issued in connection with the Business Combination have been outstanding for the entire period presented.</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0" w:name="page41"/>
    <w:bookmarkEnd w:id="40"/>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weighted average shares outstanding. The computation of diluted loss per share excludes the effect of the: (1) Assumed Warrants to purchase 1,552,676 shares, (2) 100,334 shares which may be issued upon the conversion of the Assumed Convertible Debt and (3) existing warrants to purchase 7,500,000 shares to be issued because the inclusion of any of these securities would be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16"/>
        </w:trPr>
        <w:tc>
          <w:tcPr>
            <w:tcW w:w="76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16"/>
        </w:trPr>
        <w:tc>
          <w:tcPr>
            <w:tcW w:w="766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Assuming</w:t>
            </w:r>
          </w:p>
        </w:tc>
      </w:tr>
      <w:tr>
        <w:trPr>
          <w:trHeight w:val="216"/>
        </w:trPr>
        <w:tc>
          <w:tcPr>
            <w:tcW w:w="766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Assuming</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38"/>
        </w:trPr>
        <w:tc>
          <w:tcPr>
            <w:tcW w:w="766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No Redemptions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Redemptions</w:t>
            </w:r>
          </w:p>
        </w:tc>
      </w:tr>
      <w:tr>
        <w:trPr>
          <w:trHeight w:val="209"/>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calculations, basic and diluted</w:t>
            </w:r>
          </w:p>
        </w:tc>
        <w:tc>
          <w:tcPr>
            <w:tcW w:w="1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Bull Horn’s public shares as of June 30, 2022</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3,241,414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643,389</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Bull Horn’s initial shareholders</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1,875,000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1,875,000</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Coeptis stockholders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17,123,288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17,123,288</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22,239,702</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19,641,677</w:t>
            </w:r>
          </w:p>
        </w:tc>
      </w:tr>
    </w:tbl>
    <w:p>
      <w:pPr>
        <w:spacing w:after="0" w:line="225"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two alternative levels of redemption of Bull Horn’s public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Assuming</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Assuming No</w:t>
            </w:r>
          </w:p>
        </w:tc>
        <w:tc>
          <w:tcPr>
            <w:tcW w:w="2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2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Redemptions</w:t>
            </w:r>
          </w:p>
        </w:tc>
      </w:tr>
      <w:tr>
        <w:trPr>
          <w:trHeight w:val="187"/>
        </w:trPr>
        <w:tc>
          <w:tcPr>
            <w:tcW w:w="744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Selected Unaudited Pro Forma Condensed Combined Statement of Operations</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8"/>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Six Months Ended June 30, 2022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26,737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26,737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(26,737)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(25,935)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(25,935)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share – basic</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57"/>
        </w:trPr>
        <w:tc>
          <w:tcPr>
            <w:tcW w:w="7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Weighted average shares outstanding – basic</w:t>
            </w:r>
            <w:r>
              <w:rPr>
                <w:rFonts w:ascii="Times New Roman" w:cs="Times New Roman" w:eastAsia="Times New Roman" w:hAnsi="Times New Roman"/>
                <w:sz w:val="29"/>
                <w:szCs w:val="29"/>
                <w:color w:val="auto"/>
                <w:vertAlign w:val="superscript"/>
              </w:rPr>
              <w:t>(1)(2)</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22,239,702</w:t>
            </w:r>
          </w:p>
        </w:tc>
        <w:tc>
          <w:tcPr>
            <w:tcW w:w="200" w:type="dxa"/>
            <w:vAlign w:val="bottom"/>
          </w:tcPr>
          <w:p>
            <w:pPr>
              <w:spacing w:after="0"/>
              <w:rPr>
                <w:sz w:val="22"/>
                <w:szCs w:val="22"/>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19,641,677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share – diluted</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22,239,702</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19,641,677</w:t>
            </w:r>
          </w:p>
        </w:tc>
      </w:tr>
      <w:tr>
        <w:trPr>
          <w:trHeight w:val="216"/>
        </w:trPr>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74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Selected Unaudited Pro Forma Condensed Combined Statement of Operations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Year Ended December 31, 2021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18,740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18,740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(18,665)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(18,665)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22,239,702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19,641,677</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7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Selected Unaudited Pro Forma Condensed Combined Statement of Financial Position</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32,358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36,503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4,256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4,256</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5,062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5,062</w:t>
            </w:r>
          </w:p>
        </w:tc>
      </w:tr>
      <w:tr>
        <w:trPr>
          <w:trHeight w:val="189"/>
        </w:trPr>
        <w:tc>
          <w:tcPr>
            <w:tcW w:w="7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31,441</w:t>
            </w:r>
          </w:p>
        </w:tc>
        <w:tc>
          <w:tcPr>
            <w:tcW w:w="2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5,000</w:t>
            </w:r>
          </w:p>
        </w:tc>
      </w:tr>
      <w:tr>
        <w:trPr>
          <w:trHeight w:val="272"/>
        </w:trPr>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____________</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ind w:left="360" w:hanging="352"/>
        <w:spacing w:after="0" w:line="249" w:lineRule="auto"/>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no redemption, the pro forma Bull Horn current shareholders will own 5,116,414 and the Company will issue 17,123,288 to the Coeptis current shareholders for a total of 22,239,702.</w:t>
      </w:r>
    </w:p>
    <w:p>
      <w:pPr>
        <w:ind w:left="360" w:hanging="352"/>
        <w:spacing w:after="0" w:line="260" w:lineRule="auto"/>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max redemption, the pro forma Bull Horn current shareholders will own 2,427,991 and the Company will issue 17,123,288 to the Coeptis current shareholders for a total of 19,641,677.</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COMPARATIVE SHARE INFORMATION</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summary historical comparative share information for Coeptis and Bull Horn on a stand-alone basis and unaudited pro forma combined per share information after giving effect to the Business Combination, assuming two redemption scenarios; (1) assuming no Bull Horn shareholders exercise redemption rights with respect to their ordinary shares upon the consummation of the Business Combination; and (2) assuming that Bull Horn shareholders exercise their redemption rights with respect to a maximum of 2,598,025 ordinary shares upon consummation of the Business Combination.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shares outstanding and net earnings per share information reflect the Business Combination as if it had occurred on January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This information is only a summary and should be read in conjunction with the historical financial statements of Bull Horn and Coeptis and related notes included elsewhere in this proxy statement. The unaudited pro forma condensed combined per share information of Bull Horn and Coeptis is derived from, and should be read in conjunction with, the unaudited pro forma condensed combined financial statements and related notes included elsewhere in this proxy statement.</w:t>
      </w:r>
    </w:p>
    <w:p>
      <w:pPr>
        <w:spacing w:after="0" w:line="180"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earnings (loss) per share information below does not purport to represent the earnings (loss) per share which would have occurred had the companies been combined during the periods presented, nor earnings per share for any future date or period.</w:t>
      </w:r>
    </w:p>
    <w:p>
      <w:pPr>
        <w:spacing w:after="0" w:line="162" w:lineRule="exact"/>
        <w:rPr>
          <w:sz w:val="20"/>
          <w:szCs w:val="20"/>
          <w:color w:val="auto"/>
        </w:rPr>
      </w:pPr>
    </w:p>
    <w:p>
      <w:pPr>
        <w:ind w:right="280" w:firstLine="432"/>
        <w:spacing w:after="0" w:line="258" w:lineRule="auto"/>
        <w:rPr>
          <w:sz w:val="20"/>
          <w:szCs w:val="20"/>
          <w:color w:val="auto"/>
        </w:rPr>
      </w:pPr>
      <w:r>
        <w:rPr>
          <w:rFonts w:ascii="Times New Roman" w:cs="Times New Roman" w:eastAsia="Times New Roman" w:hAnsi="Times New Roman"/>
          <w:sz w:val="18"/>
          <w:szCs w:val="18"/>
          <w:color w:val="auto"/>
        </w:rPr>
        <w:t>After the Business Combination, assuming no redemptions of Bull Horn shares for cash, Bull Horn’s current shareholders will own approximately 23.0% of the outstanding Company shares, and the former stockholders of Coeptis will own approximately 77.0% of the outstanding Company shares. Assuming redemption by holders of 2,598,025 Bull Horn shares, Bull Horn shareholders will own approximately 12.8% of the outstanding Company shares, and the former stockholders of Coeptis will own approximately 87.2% of the outstanding Company shares (in each case, not giving effect to any shares issuable upon the exercise or conversion of warrants).</w:t>
      </w:r>
    </w:p>
    <w:p>
      <w:pPr>
        <w:spacing w:after="0" w:line="183"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foregoing scenarios are for illustrative purposes only as the actual number of redemptions by Bull Horn’s public shareholders is unknowable prior to the Bull Horn shareholder vote with respect to the Business Combination.</w:t>
      </w:r>
    </w:p>
    <w:p>
      <w:pPr>
        <w:spacing w:after="0" w:line="162"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following presents the calculation of basic and diluted weighted average shares outstanding. The computation of diluted loss per share excludes the effect of warrants to purchase 9,211,600 shares to be issued because the inclusion of any of these securities would be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Combined Pro Forma</w:t>
            </w:r>
          </w:p>
        </w:tc>
      </w:tr>
      <w:tr>
        <w:trPr>
          <w:trHeight w:val="187"/>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Assuming</w:t>
            </w:r>
          </w:p>
        </w:tc>
        <w:tc>
          <w:tcPr>
            <w:tcW w:w="10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Coeptis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Bullhorn</w:t>
            </w: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Assuming No</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38"/>
        </w:trPr>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Quarter ended June 30, 2022</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2,979</w:t>
            </w: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(25,935)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(3,979)</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56"/>
        </w:trPr>
        <w:tc>
          <w:tcPr>
            <w:tcW w:w="4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June 30, 2022 book value per share</w:t>
            </w:r>
            <w:r>
              <w:rPr>
                <w:rFonts w:ascii="Times New Roman" w:cs="Times New Roman" w:eastAsia="Times New Roman" w:hAnsi="Times New Roman"/>
                <w:sz w:val="29"/>
                <w:szCs w:val="29"/>
                <w:color w:val="auto"/>
                <w:vertAlign w:val="superscript"/>
              </w:rPr>
              <w:t>(a)</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7,837,177</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22,239,702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19,641,677</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7,837,177</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22,239,702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19,641,677</w:t>
            </w:r>
          </w:p>
        </w:tc>
      </w:tr>
      <w:tr>
        <w:trPr>
          <w:trHeight w:val="216"/>
        </w:trPr>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 basic</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9,375,000</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22,239,702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19,641,677</w:t>
            </w:r>
          </w:p>
        </w:tc>
      </w:tr>
      <w:tr>
        <w:trPr>
          <w:trHeight w:val="216"/>
        </w:trPr>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 basic and diluted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45"/>
        </w:trPr>
        <w:tc>
          <w:tcPr>
            <w:tcW w:w="474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____________</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ind w:left="480" w:hanging="472"/>
        <w:spacing w:after="0"/>
        <w:tabs>
          <w:tab w:leader="none" w:pos="4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is calculated using the formula: Total stockholder’s equity divided by shares outstanding.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4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You should carefully consider all the following risk factors, together with all of the other information in this proxy statement, including the financial information, before deciding how to vote or instruct your vote to be cast to approve the Proposals described in this proxy statement.</w:t>
      </w:r>
    </w:p>
    <w:p>
      <w:pPr>
        <w:spacing w:after="0" w:line="158"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The value of your investment following the completion of the Business Combination will be subject to significant risks affecting, among other things, the Company’s business, financial condition and results of operations. If any of the events described below occur, the Company’s post-Business Combination business and financial results could be adversely affected in material respects. This could result in a decline, which may be significant, in the trading price of the Company’s securities and you therefore may lose all or part of your investment. The risk factors described below are not necessarily exhaustive and you are encouraged to perform your own investigation with respect to the businesses of Coeptis and Bull Horn.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Throughout this section, references to the “Company” refer to the Company and its consolidated subsidiaries as the context so requires.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Business Combination</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Coeptis’ stockholders will experience dilution due to the issuance of Company Common Stock to the Coeptis stockholders as consideration in the Merger.</w:t>
      </w:r>
    </w:p>
    <w:p>
      <w:pPr>
        <w:spacing w:after="0" w:line="159"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Based on Coeptis’ and Bull Horn’s current capitalization (and the assumptions regarding the Merger Consideration paid at Closing described under the section entitled “</w:t>
      </w:r>
      <w:r>
        <w:rPr>
          <w:rFonts w:ascii="Times New Roman" w:cs="Times New Roman" w:eastAsia="Times New Roman" w:hAnsi="Times New Roman"/>
          <w:sz w:val="18"/>
          <w:szCs w:val="18"/>
          <w:i w:val="1"/>
          <w:iCs w:val="1"/>
          <w:color w:val="auto"/>
        </w:rPr>
        <w:t>Frequently Used Terms — Share Calculations and Ownership Percentages</w:t>
      </w:r>
      <w:r>
        <w:rPr>
          <w:rFonts w:ascii="Times New Roman" w:cs="Times New Roman" w:eastAsia="Times New Roman" w:hAnsi="Times New Roman"/>
          <w:sz w:val="18"/>
          <w:szCs w:val="18"/>
          <w:color w:val="auto"/>
        </w:rPr>
        <w:t>”), we anticipate issuing to the Coeptis stockholders approximately an aggregate of 17,123,288 shares of Company Common Stock pursuant to the Merger Agreement, and it is currently expected that Bull Horn’s current shareholders would hold in the aggregate approximately 23% of the outstanding common stock of the Company. If any of the public shares are redeemed in connection with the Merger, the percentage of the outstanding ordinary shares held by the public shareholders will decrease and the percentages of the outstanding common stock held immediately following the Business Combination by the sponsor and outstanding common stock issuable to Coeptis stockholders will increase. Please see the section of this proxy statement entitled “</w:t>
      </w:r>
      <w:r>
        <w:rPr>
          <w:rFonts w:ascii="Times New Roman" w:cs="Times New Roman" w:eastAsia="Times New Roman" w:hAnsi="Times New Roman"/>
          <w:sz w:val="18"/>
          <w:szCs w:val="18"/>
          <w:i w:val="1"/>
          <w:iCs w:val="1"/>
          <w:color w:val="auto"/>
        </w:rPr>
        <w:t>Questions and Answers — Q. What equity stake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current Bull Horn shareholders and Coeptis stockholders hold in the Company immediately after the completion of the Business Combination?</w:t>
      </w:r>
      <w:r>
        <w:rPr>
          <w:rFonts w:ascii="Times New Roman" w:cs="Times New Roman" w:eastAsia="Times New Roman" w:hAnsi="Times New Roman"/>
          <w:sz w:val="18"/>
          <w:szCs w:val="18"/>
          <w:color w:val="auto"/>
        </w:rPr>
        <w:t>”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illustration.</w:t>
      </w:r>
    </w:p>
    <w:p>
      <w:pPr>
        <w:spacing w:after="0" w:line="188"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Furthermore, to the extent that (i) any of the outstanding warrants (including up to 7,500,000 Public Warrants, 3,750,000 Private Placement Warrants and the assumed 1,552,676 shares underlying Coeptis warrants) are exercised for Company Common Stock, (ii) the Coeptis Convertible Debt is converted into up to an assumed 100,334 shares of Company Common Stock, and (iii) the sponsor elects to convert the working capital loan of up to $500,000 into warrants, which are convertible into shares of Company Common Stock at $1.00 per warrant, Bull Horn’s existing shareholders may experience additional substantial dilution. As a result, if any of the foregoing instruments are exercised or converted, the ownership interest in the aggregate of Bull Horn public shareholders who elect not to redeem their shares in the Company in connection with the Business Combination are 10.2% with no redemptions, 9.3% with 10% redemptions, 7.9% with 25% redemptions, 5.4% with 50% redemptions and 2.2% with maximum redemptions. Shares to be issued under the proposed 2022 Equity Incentive Plan could result in further dilution to Bull Horn’s shareholders. Such dilution could, among other things, limit the ability of Bull Horn’s current shareholders to influence the Company’s management through the election of directors following the Business Combination.</w:t>
      </w:r>
    </w:p>
    <w:p>
      <w:pPr>
        <w:spacing w:after="0" w:line="184"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be successful following the Business Combination will depend upon the efforts of the Company Board and Coeptis’ key personnel and the loss of such persons could negatively impact the operations and profitability of the Company’s business following the Business Combination.</w:t>
      </w:r>
    </w:p>
    <w:p>
      <w:pPr>
        <w:spacing w:after="0" w:line="17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Company’s ability to be successful following the Business Combination will be dependent upon the efforts of the Company Board and key personnel. Coeptis cannot assure you that, following the Business Combination, the Company Board and the Company’s key personnel will be effective or successful or remain with the Company. In addition to the other challenges they will face, such individuals may be unfamiliar with the requirements of operating a public company, which could cause the Company’s management to expend time and resources becoming familiar with such requirements.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triggered an economic crisis which may delay or prevent the consummation of the Business Combination.</w:t>
      </w:r>
    </w:p>
    <w:p>
      <w:pPr>
        <w:spacing w:after="0" w:line="229"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The outbreak of the novel coronavirus and the COVID-19 disease that it causes has evolved into a global pandemic. Given the uncertain and rapidly evolving situation relating to the spread of COVID-19, it is difficult to predict the impact on the business of Coeptis, Bull Horn and Coeptis Therapeutics Holdings, Inc., and there is no guarantee that efforts by Coeptis, Bull Horn and Coeptis Therapeutics Holdings, Inc. to address the adverse impact of COVID-19 will be effective. If Coeptis or Bull Horn is unable to recover from a business disruption on a timely basis, the Business Combination and Coeptis Therapeutics Holdings, Inc.’s business and financial conditions and results of operations following the completion of the Business Combination would be adversely affected. The Business Combination may also be delayed and adversely affected by the coronavirus outbreak and become more costly. Each of Coeptis and Bull Horn may also incur additional costs to remedy damages caused by such disruptions, which could adversely affect its financial condition and results of operations.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will be a holding company and its only material asset after completion of the Business Combination will be its interest in Coeptis, and it is accordingly dependent upon distributions made by its subsidiaries to pay taxes and pay dividends.</w:t>
      </w:r>
    </w:p>
    <w:p>
      <w:pPr>
        <w:spacing w:after="0" w:line="15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Upon completion of the Business Combination, the Company will be a holding company with no material assets other than cash in the amount of approximately $5.0 million assuming maximum redemption or approximately $33.1 million if no redemption (prior to giving effect of the costs and expenses in connection with the consummation of the Business Combination), and its ownership of all of the issued and outstanding Coeptis common stock. As a result, the Company will have no independent means of generating revenue or cash flow. The Company’s ability to pay taxes and pay dividends will depend on the financial results and cash flows of Coeptis and its subsidiaries and the distributions it receives from Coeptis. Deterioration in the financial condition, earnings or cash flow of Coeptis and its subsidiaries for any reason could limit or impair Coeptis’ ability to pay such distributions. Additionally, to the extent that the Company needs funds and Coeptis and/or its subsidiaries are restricted from making such distributions under applicable law or regulation or under the terms of any financing arrangements, or Coeptis is otherwise unable to provide such funds, it could materially adversely affect the Company’s liquidity and financial condition.</w:t>
      </w:r>
    </w:p>
    <w:p>
      <w:pPr>
        <w:spacing w:after="0" w:line="188"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Dividends on the Company Common Stock, if any, will be paid at the discretion of the Company Board, which will consider, among other things, the Company’s business, operating results, financial condition, current and expected cash needs, plans for expansion and any legal or contractual limitations on its ability to pay such dividends. Financing arrangements may include restrictive covenants that restrict the Company’s ability to pay dividends or make other distributions to its stockholders. In addition, Coeptis is generally prohibited under Delaware law from making a distribution to a stockholder to the extent that, at the time of the distribution, after giving effect to the distribution, liabilities of Coeptis (with certain exceptions) exceed the fair value of its assets. Coeptis’ subsidiaries are generally subject to similar legal limitations on their ability to make distributions to Coeptis. If Coeptis does not have sufficient funds to make distributions, the Company’s ability to declare and pay cash dividends may also be restricted or impaired.</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Coeptis’ officers and directors may be argued to have conflicts of interest that may influence or have influenced them to support or approve the Business Combination without regard to your interests or in determining whether or not to recommend the Business Combination.</w:t>
      </w:r>
    </w:p>
    <w:p>
      <w:pPr>
        <w:spacing w:after="0" w:line="15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Aside from their interests as stockholders, Coeptis’ directors and officers have interests in the Business Combination that are different from, or in addition to, those of Coeptis’ other stockholders generally. Coeptis’ stockholders should take these interests into account in deciding whether to approve the Business Combination. These interests include, among other things the fact that Coeptis’ directors own shares of Coeptis common stock and Coeptis preferred stock which were initially acquired for purchase prices below prices originally paid by other Coeptis stockholders. In addition, it is anticipated that David Mehalick and Daniel Yerace will each be a member of the Company’s board of directors following the closing of the Business Combination, and each of Coeptis’ current officers will become officers of the Company following the closing of the Business Combination, and, as such, after the proposed Business Combination is consummated, Mr. Mehalick, Mr. Yerace and the other officers may in the future receive cash fees, stock options or stock awards that the Company Board determines to pay to its directors and officers. These interests may have influenced Coeptis’ directors in making their recommendation that you vote in favor of the approval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4" w:name="page45"/>
    <w:bookmarkEnd w:id="44"/>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Bull Horn’s shareholders to exercise Redemption Rights with respect to the public shares may prevent the Company from optimizing its capital structure.</w:t>
      </w:r>
    </w:p>
    <w:p>
      <w:pPr>
        <w:spacing w:after="0" w:line="15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Bull Horn does not know how many shareholders will ultimately exercise their redemption rights in connection with the Business Combination. As such, the Business Combination is structured based on Bull Horn’s expectations (and those of the other parties to the Merger Agreement) as to the number of shares that will be submitted for redemption. In addition, if a larger number of shares are submitted for redemption than Bull Horn initially expected, Coeptis and Bull Horn may need to seek to arrange for additional third-party financing to be able to fund the Company’s operations.</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completion of the Business Combination, the Company may be required to take write-downs or write-offs, restructuring and impairment or other charges that could have a significant negative effect on its financial condition and its share price, which could cause you to lose some or all of your investment.</w:t>
      </w:r>
    </w:p>
    <w:p>
      <w:pPr>
        <w:spacing w:after="0" w:line="175"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Although Bull Horn has conducted due diligence on Coeptis, Bull Horn cannot assure you that the due diligence revealed all material issues that may be present with regard to Coeptis, that it would be possible to uncover all material issues through a customary amount of due diligence or that factors outside of Bull Horn’s or Coeptis’ control will not later arise. As a result of unidentified issues or factors outside of Bull Horn’s or Coeptis’ control, the Company may be forced to later write-down or write-off assets, restructure operations, or incur impairment or other charges that could result in reporting losses. Even if Bull Horn’s due diligence successfully identifies certain risks, unexpected risks may arise and previously known risks may materialize in a manner not consistent with the preliminary risk analysis conducted by Bull Horn. Even though these charges may be non-cash items that would not have an immediate impact on the Company’s liquidity, the fact that the Company reports charges of this nature could contribute to negative market perceptions about the Company or its securities. In addition, charges of this nature may cause the Company to violate leverage or other covenants to which it may be subject. Accordingly, any shareholders who choose to remain shareholders following the Business Combination could suffer a reduction in the value of their shares from any such write-down or write-downs.</w:t>
      </w:r>
    </w:p>
    <w:p>
      <w:pPr>
        <w:spacing w:after="0" w:line="1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the Company’s securities from trading on its exchange, which could limit investors’ ability to make transactions in the Company’s securities and subject the Company to additional trading restrictions.</w:t>
      </w:r>
    </w:p>
    <w:p>
      <w:pPr>
        <w:spacing w:after="0" w:line="159"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Bull Horn’s securities are currently listed on Nasdaq and it is anticipated that, following the Business Combination, the Company’s securities will continue to be listed on Nasdaq. However, there can be no assurance that the Company’s securities will continue to be listed on Nasdaq upon the closing of the Business Combination or maintain such listing subsequent to the closing of the Business Combination.</w:t>
      </w:r>
    </w:p>
    <w:p>
      <w:pPr>
        <w:spacing w:after="0" w:line="176"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the Company will be required to demonstrate compliance with Nasdaq’s initial listing requirements, which are more rigorous than Nasdaq’s continued listing requirements. Nasdaq’s initial listing requirements set forth in Nasdaq Rule 5505(a) require, among other things, that the Company’s minimum stock price be at least $4.00 per share and that the Company have at least 1,000,000 unrestricted publicly held shares and a minimum of 300 public holders of “round lots” of 100 shares. Furthermore, Nasdaq Rule 5505(b)(2) requires, among other things, that the Company have a market value of listed securities of at least $50 million, stockholders’ equity of at least $4 million and a public float of at least $15 million. In addition to the listing requirements for the Company’s shares, Nasdaq imposes listing standards on warrants. There can be no assurance that the Company will be able to meet Nasdaq’s initial listing requirements, in which case Nasdaq may delist the Company’s securities from trading on its exchange in connection with the closing of the Business Combination. The foregoing is a brief description of the Nasdaq initial listing requirements applicable to the Company’s securities, and more detailed information about such requirements is set forth in Nasdaq Rule 5505.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In addition, to maintain the listing of the Company’s securities on Nasdaq subsequent to the closing of the Business Combination, the Company must maintain certain financial, distribution, liquidity and stock price levels to satisfy Nasdaq’s continued listing requirements. The Company must, among other things, maintain a minimum bid price of $1.00 per share, a minimum amount of stockholders’ equity (generally $2,500,000) and a minimum number of holders of its securities (generally 300 public holders). The foregoing is a brief description of the Nasdaq continued listing requirements applicable to the Company’s securities, and more detailed information about such requirements is set forth in Nasdaq Rule 5550.</w:t>
      </w:r>
    </w:p>
    <w:p>
      <w:pPr>
        <w:spacing w:after="0" w:line="183"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If subsequent to the closing of the Business Combination, the Company is unable to maintain a minimum bid price for its shares of $1.00 per share, or to satisfy any other continued listing requirement, Nasdaq may delist the Company’s securities from trading on its exchange. Such a delisting would likely have a negative effect on the price of the Company’s securities and may impair your ability to sell or purchase the Company’s securities when you wish to do so.</w:t>
      </w:r>
    </w:p>
    <w:p>
      <w:pPr>
        <w:spacing w:after="0" w:line="3"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If Nasdaq delists the Company’s securities from trading on its exchange and the Company is not able to list its securities on another national securities exchange, the Company’s securities may be quoted on an over-the-counter market. However, if this were to occur, the Company could face significant material adverse consequences, including:</w:t>
      </w:r>
    </w:p>
    <w:p>
      <w:pPr>
        <w:spacing w:after="0" w:line="186" w:lineRule="exact"/>
        <w:rPr>
          <w:sz w:val="20"/>
          <w:szCs w:val="20"/>
          <w:color w:val="auto"/>
        </w:rPr>
      </w:pPr>
    </w:p>
    <w:p>
      <w:pPr>
        <w:ind w:left="880" w:hanging="440"/>
        <w:spacing w:after="0"/>
        <w:tabs>
          <w:tab w:leader="none" w:pos="8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its securities;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its securities;</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Company Common Stock is a “penny stock” which will require brokers trading in the common stock to adhere to more stringent rules and possibly result in a reduced level of trading activity in the secondary trading market for the Company’s securities;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conditions to the Merger Agreement are not met, the Business Combination may not occur.</w:t>
      </w:r>
    </w:p>
    <w:p>
      <w:pPr>
        <w:spacing w:after="0" w:line="229"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Even if the Merger Agreement is approved by the shareholders of Bull Horn and stockholders of Coeptis, specified conditions must be satisfied or waived before the parties to the Merger Agreement are obligated to complete the Business Combination. For a list of the material closing conditions contained in the Merger Agreement, see the section entitled “</w:t>
      </w:r>
      <w:r>
        <w:rPr>
          <w:rFonts w:ascii="Times New Roman" w:cs="Times New Roman" w:eastAsia="Times New Roman" w:hAnsi="Times New Roman"/>
          <w:sz w:val="18"/>
          <w:szCs w:val="18"/>
          <w:i w:val="1"/>
          <w:iCs w:val="1"/>
          <w:color w:val="auto"/>
        </w:rPr>
        <w:t>Proposal 1: The Business Combination Proposal — The Merger Agreement —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Coeptis and Bull Horn may not satisfy all of the closing conditions in the Merger Agreement. If the closing conditions are not satisfied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waived, the Business Combination will not occur, or will be delayed pending later satisfaction or waiver, and such delay may cause Bull Horn and Coeptis to each lose some or all of the intended benefits of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Each of Bull Horn and Coeptis may waive one or more of the conditions to the Business Combination.</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Each of Bull Horn and Coeptis may agree to waive, in whole or in part, some of the conditions to their respective obligations to complete the Business Combination, to the extent permitted by their respective existing charters and applicable laws. For example, it is a condition to Bull Horn’s obligations to close the Business Combination that the representations and warranties of Coeptis and its subsidiaries are true and correct in all respects as of the date of the Merger Agreement and as of the date of the Closing Date (as defined in the Merger Agreement) (or an earlier date to the extent that an earlier date is referenced in the representation and warranty), except for such inaccuracies that, individually or in the aggregate, would not result in a Material Adverse Effect (as defined in the Merger Agreement) on Coeptis and its subsidiaries. Bull Horn is not able to waive the condition that its stockholders approve the Business Combination. Coeptis is not able to waive the condition that its stockholders approve the Business Combination. The following closing conditions also may not be waived: expiration of any applicable waiting period under any antitrust laws; receipt of requisite consents from governmental authorities to consummate the Transactions; the absence of any law or order that would prohibit the consummation of the Merger or other transactions contemplated by the Merger Agreement; either immediately prior to or upon the Closing, after giving effect to the completion of the redemption and any transaction financing, the Company having net tangible assets of at least $5,000,001 on a consolidated basis; and the effectiveness of this registration statement. If either Bull Horn or Coeptis elects to waive any conditions to their respective obligations to complete the Business Combination, the parties may close the Business Combination without the satisfaction of any such conditions.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6" w:name="page47"/>
    <w:bookmarkEnd w:id="46"/>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unaudited pro forma financial information included in the section entitled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 Pro Forma Condensed Combined Financial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may not be representative of the Company’s results if the Business Combination is completed.</w:t>
      </w:r>
    </w:p>
    <w:p>
      <w:pPr>
        <w:spacing w:after="0" w:line="15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Coeptis and Bull Horn currently operate as separate companies and have had no prior history as a combined entity, and their operations have not previously been managed on a combined basis. The pro forma financial information included in this proxy statement is presented for informational purposes only and is not necessarily indicative of the financial position or results of operations that would have actually occurred had the Business Combination been completed at or as of the dates indicated, nor is it indicative of the future operating results or financial position of the Company. The pro forma statement of operations does not reflect future nonrecurring charges resulting from the Business Combination. The unaudited pro forma financial information does not reflect future events that may occur after the Business Combination and does not consider potential impacts of future market conditions on revenues or expenses. The pro forma financial information included in the section entitled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has been derived from Bull Horn’s and Coeptis’ historical financial statements and certain adjustments and assumptions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regarding the Company after giving effect to the Business Combination. There may be differences between preliminary estimates in the pro forma financial information and the final acquisition accounting, which could result in material differences from the pro forma information presented in this proxy statement in respect of the estimated financial position and results of operations of the Company.</w:t>
      </w:r>
    </w:p>
    <w:p>
      <w:pPr>
        <w:spacing w:after="0" w:line="192" w:lineRule="exact"/>
        <w:rPr>
          <w:sz w:val="20"/>
          <w:szCs w:val="20"/>
          <w:color w:val="auto"/>
        </w:rPr>
      </w:pPr>
    </w:p>
    <w:p>
      <w:pPr>
        <w:jc w:val="both"/>
        <w:ind w:right="420" w:firstLine="432"/>
        <w:spacing w:after="0" w:line="266" w:lineRule="auto"/>
        <w:rPr>
          <w:sz w:val="20"/>
          <w:szCs w:val="20"/>
          <w:color w:val="auto"/>
        </w:rPr>
      </w:pPr>
      <w:r>
        <w:rPr>
          <w:rFonts w:ascii="Times New Roman" w:cs="Times New Roman" w:eastAsia="Times New Roman" w:hAnsi="Times New Roman"/>
          <w:sz w:val="18"/>
          <w:szCs w:val="18"/>
          <w:color w:val="auto"/>
        </w:rPr>
        <w:t>In addition, the assumptions used in preparing the pro forma financial information may not prove to be accurate and other factors may affect the Company’s financial condition or results of operations following the closing. Any potential decline in the Company’s financial condition or results of operations may cause significant variations in the stock price of the Company.</w:t>
      </w:r>
    </w:p>
    <w:p>
      <w:pPr>
        <w:spacing w:after="0" w:line="17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exercise of Coeptis’ directors’ and executive officers’ discretion in agreeing to changes or waivers in the terms of the Business Combination may result in a conflict of interest when determining whether such changes to the terms of the Business Combination or waivers of conditions are appropriate and in Coeptis’ best interest.</w:t>
      </w:r>
    </w:p>
    <w:p>
      <w:pPr>
        <w:spacing w:after="0" w:line="17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the period leading up to the Closing of the Business Combination, events may occur that, pursuant to the Merger Agreement, would require Coeptis to decide whether to agree to amend the Merger Agreement, or take certain actions to waive or otherwise not exercise certain rights that Coeptis is entitled to under the Merger Agreement. Such events could arise because of changes in the course of Coeptis’ business, a request by Bull Horn to undertake actions that would otherwise be prohibited by the terms of the Merger Agreement, or the occurrence of other events that would have a material adverse effect on Coeptis’ business and would entitle Coeptis to terminate the Merger Agreement. As of the date of this proxy statement, Coeptis does not believe there will be any changes or waivers that Coeptis’ directors and executive officers would be likely to make after stockholder approval of the Business Combination Proposal has been obtained. While certain changes could be made without further stockholder approval, Coeptis will circulate a new or amended proxy statement and re-solicit Coeptis’ stockholders if changes to the terms of the transaction that would have a material impact on Coeptis’ stockholder are required prior to the vote on the Business Combination Proposal.</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consummation of the Business Combination is subject to a number of conditions, and if those conditions are not satisfied or waived, the Merger Agreement may be terminated in accordance with its terms and the Business Combination may not be completed.</w:t>
      </w:r>
    </w:p>
    <w:p>
      <w:pPr>
        <w:spacing w:after="0" w:line="159"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Even if the Merger Agreement is approved by the shareholders of Bull Horn and Coeptis stockholders, specified conditions must be satisfied or waived before the parties to the Merger Agreement are obligated to complete the Business Combination. For a list of the material closing conditions contained in the Merger Agreement, see the section titled “</w:t>
      </w:r>
      <w:r>
        <w:rPr>
          <w:rFonts w:ascii="Times New Roman" w:cs="Times New Roman" w:eastAsia="Times New Roman" w:hAnsi="Times New Roman"/>
          <w:sz w:val="18"/>
          <w:szCs w:val="18"/>
          <w:i w:val="1"/>
          <w:iCs w:val="1"/>
          <w:color w:val="auto"/>
        </w:rPr>
        <w:t>Proposal 1: The Business Combination Proposal — The Merger Agreement —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Bull Horn and Coeptis may not satisfy all of the closing conditions in the Merger Agreement. If the closing conditions are not satisfied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waived, the Business Combination will not occur, or will be delayed pending later satisfaction or waiver, and such delay may cause Bull Horn and Coeptis to each lose some or all of the intended benefits of the Business Combination.</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7" w:name="page48"/>
    <w:bookmarkEnd w:id="47"/>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particularly those related to special purpose acquisition companies, may adversely affect our business and results of operations.</w:t>
      </w:r>
    </w:p>
    <w:p>
      <w:pPr>
        <w:spacing w:after="0" w:line="159" w:lineRule="exact"/>
        <w:rPr>
          <w:sz w:val="20"/>
          <w:szCs w:val="20"/>
          <w:color w:val="auto"/>
        </w:rPr>
      </w:pPr>
    </w:p>
    <w:p>
      <w:pPr>
        <w:ind w:firstLine="432"/>
        <w:spacing w:after="0" w:line="277" w:lineRule="auto"/>
        <w:rPr>
          <w:sz w:val="20"/>
          <w:szCs w:val="20"/>
          <w:color w:val="auto"/>
        </w:rPr>
      </w:pPr>
      <w:r>
        <w:rPr>
          <w:rFonts w:ascii="Times New Roman" w:cs="Times New Roman" w:eastAsia="Times New Roman" w:hAnsi="Times New Roman"/>
          <w:sz w:val="17"/>
          <w:szCs w:val="17"/>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64" w:lineRule="exact"/>
        <w:rPr>
          <w:sz w:val="20"/>
          <w:szCs w:val="20"/>
          <w:color w:val="auto"/>
        </w:rPr>
      </w:pPr>
    </w:p>
    <w:p>
      <w:pPr>
        <w:ind w:right="180" w:firstLine="432"/>
        <w:spacing w:after="0" w:line="255" w:lineRule="auto"/>
        <w:rPr>
          <w:sz w:val="20"/>
          <w:szCs w:val="20"/>
          <w:color w:val="auto"/>
        </w:rPr>
      </w:pPr>
      <w:r>
        <w:rPr>
          <w:rFonts w:ascii="Times New Roman" w:cs="Times New Roman" w:eastAsia="Times New Roman" w:hAnsi="Times New Roman"/>
          <w:sz w:val="18"/>
          <w:szCs w:val="18"/>
          <w:color w:val="auto"/>
        </w:rPr>
        <w:t>With respect to the regulation of special purpose acquisition companies like Bull Horn (“</w:t>
      </w:r>
      <w:r>
        <w:rPr>
          <w:rFonts w:ascii="Times New Roman" w:cs="Times New Roman" w:eastAsia="Times New Roman" w:hAnsi="Times New Roman"/>
          <w:sz w:val="18"/>
          <w:szCs w:val="18"/>
          <w:b w:val="1"/>
          <w:bCs w:val="1"/>
          <w:color w:val="auto"/>
        </w:rPr>
        <w:t>SPACs</w:t>
      </w:r>
      <w:r>
        <w:rPr>
          <w:rFonts w:ascii="Times New Roman" w:cs="Times New Roman" w:eastAsia="Times New Roman" w:hAnsi="Times New Roman"/>
          <w:sz w:val="18"/>
          <w:szCs w:val="18"/>
          <w:color w:val="auto"/>
        </w:rPr>
        <w:t>”), on March 30, 2022, the SEC issued proposed rules relating to, among other items, disclosures in business combination transactions involving SPACs and private operating companies; the condensed financial statement requirements applicable to transactions involving shell companies; the use of projections by SPACs in SEC filings in connection with proposed business combination transactions; the potential liability of certain participants in proposed business combination transactions; and the extent to which SPACs could become subject to regulation under the Investment Company Act of 1940, as amended, including a proposed rule that would provide SPACs a safe harbor from treatment as an investment company if they satisfy certain conditions that limit a SPAC’s duration, asset composition, business purpose and activities. These rules, if adopted, whether in the form proposed or in a revised form, may increase the costs of and the time needed to complete the Business Combination.</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and operations could be negatively affected if it becomes subject to any securities litigation or shareholder activism, which could cause the Company to incur significant expense, hinder execution of business and growth strategy and impact its stock price.</w:t>
      </w:r>
    </w:p>
    <w:p>
      <w:pPr>
        <w:spacing w:after="0" w:line="159"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the Company Common Stock or other reasons may in the future cause it to become the target of securities litigation or shareholder activism. Securities litigation and shareholder activism, including potential proxy contests, could result in substantial costs and divert management’s and board of directors’ attention and resources from the Company’s business. Additionally, such securities litigation and shareholder activism could give rise to perceived uncertainties as to the Company’s future, adversely affect its relationships with service providers and make it more difficult to attract and retain qualified personnel. Also, the Company may be required to incur significant legal fees and other expenses related to any securities litigation and activist shareholder matters. Further, its stock price could be subject to significant fluctuation or otherwise be adversely affected by the events, risks and uncertainties of any securities litigation and shareholder activism.</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controls a substantial interest in Bull Horn and thus may exert a substantial influence on actions requiring a shareholder vote, potentially in a manner that you do not support.</w:t>
      </w:r>
    </w:p>
    <w:p>
      <w:pPr>
        <w:spacing w:after="0" w:line="15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The sponsor owns 36.6% of Bull Horn’s issued and outstanding ordinary shares. Accordingly, it may exert a substantial influence on actions requiring a shareholder vote, including the matters to be considered at the Shareholders Meeting, potentially in a manner that Bull Horn shareholders do not support. If the sponsor purchases any additional ordinary shares in the aftermarket or in privately negotiated transactions, this would increase its control. Neither the sponsor nor, to Bull Horn’s knowledge, any of Bull Horn’s officers or directors, have any current intention to purchase additional securities, other than as may be disclosed in this proxy statement. Factors that would be considered in making such additional purchases would include consideration of the current trading price of Bull Horn’s ordinary shares. Bull Horn will not hold an annual meeting of shareholders to elect new directors prior to the consummation of the Business Combination, in which case all of the current directors will continue in office until at least the completion of the Business Combination. Accordingly, the sponsor will continue to exert control at least until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Coeptis’ Business and Industry</w:t>
      </w:r>
    </w:p>
    <w:p>
      <w:pPr>
        <w:spacing w:after="0" w:line="22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Following the Business Combination, the Company will be a holding company with no direct operations that relies on dividends, distributions, loans and other payments, advances and transfers of funds from Coeptis and its subsidiaries to pay dividends, pay expenses and meet its other obligations. Accordingly, the Company’s stockholders will be subject to all of the risks of Coeptis’ business following the Business Combination. Throughout this section, unless otherwise noted, “Coeptis” “we” and “our” refers to Coeptis Therapeutics, Inc. and its consolidated subsidiaries.</w:t>
      </w:r>
    </w:p>
    <w:p>
      <w:pPr>
        <w:spacing w:after="0" w:line="18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As you consider the proposed Business Combination, you should carefully consider the following risk factors, which address the material risks concerning Coeptis’ business. If any of the risks discussed in this proxy statement occur, our business, prospects, liquidity, financial condition and results of operations could be materially and adversely affected, in which case the value of the Company Common Stock could decline significantly and you could lose all or part of your investment. Some statements in this proxy statement, including statements in the following risk factors, constitute forward-looking statements. The risk factors discussed below cover not only Coeptis’ current operations and relationships, but also the risks we expect to encounter when and if implement our strategic plans and add new products, candidates and relationships. Please refer to the section entitled “Cautionary Note Regarding Forward-Looking Statements.”</w:t>
      </w:r>
    </w:p>
    <w:p>
      <w:pPr>
        <w:spacing w:after="0" w:line="18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substantial doubt about Coeptis’ ability to continue as a going concern.</w:t>
      </w:r>
    </w:p>
    <w:p>
      <w:pPr>
        <w:spacing w:after="0" w:line="22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report of Coeptis’ independent auditors that accompanies Coeptis’ consolidated financial statements includes an explanatory paragraph indicating there is a substantial doubt about Coeptis’ ability to continue as a going concern, citing Coeptis’ need for additional capital for the future planned expansion of Coeptis’ activities and to service Coeptis’ ordinary course activities (which may include servicing of indebtedness). The inclusion of a going concern explanatory paragraph in the report of Coeptis’ independent auditors will make it more difficult for us to secure additional financing or enter into strategic relationships on terms acceptable to us, if at all, and likely will materially and adversely affect the terms of any financing that we might obtain. Coeptis’ financial statements do not include any adjustments that may result from the outcome of this uncertainty.</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in prior periods, and losses in the future could cause the quoted price of Coeptis’ common stock to decline or have a material adverse effect on Coeptis’ financial condition, Coeptis’ ability to pay its debts as they become due, and on its cash flows.</w:t>
      </w:r>
    </w:p>
    <w:p>
      <w:pPr>
        <w:spacing w:after="0" w:line="159" w:lineRule="exact"/>
        <w:rPr>
          <w:sz w:val="20"/>
          <w:szCs w:val="20"/>
          <w:color w:val="auto"/>
        </w:rPr>
      </w:pPr>
    </w:p>
    <w:p>
      <w:pPr>
        <w:ind w:right="540" w:firstLine="432"/>
        <w:spacing w:after="0" w:line="261" w:lineRule="auto"/>
        <w:rPr>
          <w:sz w:val="20"/>
          <w:szCs w:val="20"/>
          <w:color w:val="auto"/>
        </w:rPr>
      </w:pPr>
      <w:r>
        <w:rPr>
          <w:rFonts w:ascii="Times New Roman" w:cs="Times New Roman" w:eastAsia="Times New Roman" w:hAnsi="Times New Roman"/>
          <w:sz w:val="18"/>
          <w:szCs w:val="18"/>
          <w:color w:val="auto"/>
        </w:rPr>
        <w:t>For the twelve months ended December 31, 2021, we incurred a net loss of 13,449,230 and, as of that date, we had an accumulated deficit of $27,550,126. For the three months ended June 30, 2022, Coeptis incurred a net loss of $9,802,837 and, as of that date, had an accumulated deficit of</w:t>
      </w:r>
    </w:p>
    <w:p>
      <w:pPr>
        <w:ind w:right="460"/>
        <w:spacing w:after="0" w:line="260" w:lineRule="auto"/>
        <w:rPr>
          <w:sz w:val="20"/>
          <w:szCs w:val="20"/>
          <w:color w:val="auto"/>
        </w:rPr>
      </w:pPr>
      <w:r>
        <w:rPr>
          <w:rFonts w:ascii="Times New Roman" w:cs="Times New Roman" w:eastAsia="Times New Roman" w:hAnsi="Times New Roman"/>
          <w:sz w:val="18"/>
          <w:szCs w:val="18"/>
          <w:color w:val="auto"/>
        </w:rPr>
        <w:t>$56,532,658. Any losses in the future could cause the quoted price of Coeptis’ common stock to decline or have a material adverse effect on Coeptis’ financial condition, its ability to pay its debts as they become due, and on its cash flows.</w:t>
      </w:r>
    </w:p>
    <w:p>
      <w:pPr>
        <w:spacing w:after="0" w:line="181"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To date, we have generated only minimal product revenue. We expect that our planned product development and strategic expansion pursuits will increase losses significantly over the next five years. In order to achieve profitability, we will be required to generate significant revenue. We cannot be certain that we will generate sufficient revenue to achieve profitability. We anticipate that we will continue to generate operating losses and experience negative cash flow from operations at least through the end of 2023 or longer. We cannot be certain that we will ever achieve profitability or that, if profitability is achieved, that is will be maintained. If our revenue grows at a slower rate than we anticipate or if our product development, marketing and operating expenses exceed our expectations or cannot be adjusted accordingly, our business, results of operation and financial condition will be materially adversely affected and we may be unable to continue operations.</w:t>
      </w:r>
    </w:p>
    <w:p>
      <w:pPr>
        <w:spacing w:after="0" w:line="189"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We will not be able to generate meaningful product revenue unless and until one of our product candidates or co-development products successfully completes clinical trials and receives regulatory approval. As some of our current and projected future product candidates or co-development products are, and we expect will be, at an early proof-of-concept stage, we do not expect to receive revenue from any of these products for several years, if at all. We intend to seek to obtain revenue from collaboration or licensing agreements with third parties. We recently shifted our operational focus away from Conjupri and Consensi, in order to focus our efforts on our other product opportunities described elsewhere in this proxy statement. We expect that we will need to rely on key third-party agreements, in order to be in a position to realize material revenues in the future, and we may never enter into any such agreements or realize material, ongoing future revenue. Even if we eventually generate revenues, we may never be profitable, and, if we do achieve profitability, we may not be able to sustain or increase profitability on a quarterly or annual basis.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have a material adverse impact on our business, results of operations and financial condition.</w:t>
      </w:r>
    </w:p>
    <w:p>
      <w:pPr>
        <w:spacing w:after="0" w:line="229"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In December 2019, a novel strain of coronavirus was reported to have surfaced in Wuhan, China. In January 2020, the World Health Organization declared the COVID-19 outbreak a “Public Health Emergency of International Concern.” This worldwide outbreak has resulted in the implementation of significant governmental measures, including lockdowns, closures, quarantines and travel bans intended to control the spread of the virus. Companies are also taking precautions, such as requiring employees to work remotely, imposing travel restrictions and temporarily closing businesses and facilities. These restrictions, and future prevention and mitigation measures, have had an adverse impact on global economic conditions and are likely to have an adverse impact on consumer confidence and spending, which could materially adversely affect the supply of, as well as the demand for, our products. Uncertainties regarding the economic impact of COVID-19 is likely to result in sustained market turmoil, which could also negatively impact our business, financial condition and cash flows.</w:t>
      </w:r>
    </w:p>
    <w:p>
      <w:pPr>
        <w:spacing w:after="0" w:line="19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If our operations or productivity continue to be impacted throughout the duration of the COVID-19 outbreak and government-mandated closures, which may negatively impact our business, financial condition and cash flows. The extent to which the COVID-19 pandemic will further impact our business will depend on future developments and, given the uncertainty around the extent and timing of the potential future spread or mitigation and around the imposition or relaxation of protective measures, we cannot reasonably estimate the impact to our business at this time.</w:t>
      </w:r>
    </w:p>
    <w:p>
      <w:pPr>
        <w:spacing w:after="0" w:line="180" w:lineRule="exact"/>
        <w:rPr>
          <w:sz w:val="20"/>
          <w:szCs w:val="20"/>
          <w:color w:val="auto"/>
        </w:rPr>
      </w:pPr>
    </w:p>
    <w:p>
      <w:pPr>
        <w:ind w:right="140" w:firstLine="432"/>
        <w:spacing w:after="0" w:line="281" w:lineRule="auto"/>
        <w:rPr>
          <w:sz w:val="20"/>
          <w:szCs w:val="20"/>
          <w:color w:val="auto"/>
        </w:rPr>
      </w:pPr>
      <w:r>
        <w:rPr>
          <w:rFonts w:ascii="Times New Roman" w:cs="Times New Roman" w:eastAsia="Times New Roman" w:hAnsi="Times New Roman"/>
          <w:sz w:val="17"/>
          <w:szCs w:val="17"/>
          <w:color w:val="auto"/>
        </w:rPr>
        <w:t>The extent of COVID-19’s effect on our operational and financial performance will depend on future developments, including the duration, spread and intensity of the outbreak, all of which are uncertain and difficult to predict considering the rapidly evolving landscape. As a result, it is not currently possible to ascertain the overall impact of COVID-19 on our business. However, if the pandemic continues for a prolonged period it could have a material adverse effect on our business, results of operations, financial condition and cash flows and adversely impact the trading price of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future expansion effectively, our business may be adversely impacted.</w:t>
      </w:r>
    </w:p>
    <w:p>
      <w:pPr>
        <w:spacing w:after="0" w:line="229"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In the future, we may experience rapid growth in our business, which could place a significant strain on our operations, in general, and our internal controls and other managerial, operating and financial resources, in particular. If we are unable to manage future expansion effectively, our business would be harmed. There is, of course, no assurance that we will enjoy rapid development in our business.</w:t>
      </w:r>
    </w:p>
    <w:p>
      <w:pPr>
        <w:spacing w:after="0" w:line="17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on the efforts of one of our executive officers; the loss of this officer could disrupt our operations and adversely affect the development of our business.</w:t>
      </w:r>
    </w:p>
    <w:p>
      <w:pPr>
        <w:spacing w:after="0" w:line="159"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Our success in effectuating our business plan will depend, primarily, on the continued service of our Chief Executive Officer and President, David Mehalick. We have just recently entered into an employment agreement with Mr. Mehalick. See “</w:t>
      </w:r>
      <w:r>
        <w:rPr>
          <w:rFonts w:ascii="Times New Roman" w:cs="Times New Roman" w:eastAsia="Times New Roman" w:hAnsi="Times New Roman"/>
          <w:sz w:val="18"/>
          <w:szCs w:val="18"/>
          <w:i w:val="1"/>
          <w:iCs w:val="1"/>
          <w:color w:val="auto"/>
        </w:rPr>
        <w:t>Executive Compensation of Coeptis</w:t>
      </w:r>
      <w:r>
        <w:rPr>
          <w:rFonts w:ascii="Times New Roman" w:cs="Times New Roman" w:eastAsia="Times New Roman" w:hAnsi="Times New Roman"/>
          <w:sz w:val="18"/>
          <w:szCs w:val="18"/>
          <w:color w:val="auto"/>
        </w:rPr>
        <w:t>” for further discussion. The loss of service of Mr. Mehalick, for any reason, could seriously impair our ability to effectuate our business plan, which could have a materially adverse effect on our business and future results of operations. We have not purchased any key-man life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key personnel, our business may be harmed.</w:t>
      </w:r>
    </w:p>
    <w:p>
      <w:pPr>
        <w:spacing w:after="0" w:line="22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If we are unable to attract and retain key personnel, our business may be harmed. Our failure to enable the effective transfer of knowledge and facilitate smooth transitions with regard to our key employees could adversely affect our long-term strategic planning and execution.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plan is not based on independent market studies.</w:t>
      </w:r>
    </w:p>
    <w:p>
      <w:pPr>
        <w:spacing w:after="0" w:line="229"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We have not commissioned any independent market studies concerning our business plans. Rather, our plans for implementing our business strategy and achieving profitability are based on the experience, judgment and assumptions of our management. If these assumptions prove to be incorrect, we may not be successful in our business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our policies without stockholder approval.</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policies, including any policies with respect to investments, leverage, financing, growth, debt and capitalization, will be determined by our Board of Directors or officers to whom our Board of Directors delegate such authority. Our Board of Directors will also establish the amount of any dividends or other distributions that we may pay to our stockholders. Our Board of Directors or officers to which such decisions are delegated will have the ability to amend or revise these and our other policies at any time without shareholder vote. Accordingly, our stockholders will not be entitled to approve changes in our policies, which policy changes may have a material adverse effect on our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need to obtain financing in order to continue our operations and pursue strategic transactions.</w:t>
      </w:r>
    </w:p>
    <w:p>
      <w:pPr>
        <w:spacing w:after="0" w:line="229" w:lineRule="exact"/>
        <w:rPr>
          <w:sz w:val="20"/>
          <w:szCs w:val="20"/>
          <w:color w:val="auto"/>
        </w:rPr>
      </w:pPr>
    </w:p>
    <w:p>
      <w:pPr>
        <w:ind w:right="380" w:firstLine="432"/>
        <w:spacing w:after="0" w:line="276" w:lineRule="auto"/>
        <w:rPr>
          <w:sz w:val="20"/>
          <w:szCs w:val="20"/>
          <w:color w:val="auto"/>
        </w:rPr>
      </w:pPr>
      <w:r>
        <w:rPr>
          <w:rFonts w:ascii="Times New Roman" w:cs="Times New Roman" w:eastAsia="Times New Roman" w:hAnsi="Times New Roman"/>
          <w:sz w:val="17"/>
          <w:szCs w:val="17"/>
          <w:color w:val="auto"/>
        </w:rPr>
        <w:t>On a prospective basis, we will require both short-term financing for operations and long-term capital to fund our expected growth. We currently have no existing bank lines of credit and have not established any definitive sources for additional financing. We believe that cash on hand will be</w:t>
      </w:r>
    </w:p>
    <w:p>
      <w:pPr>
        <w:spacing w:after="0" w:line="1"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sufficient to meet our short-term financial requirements into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quarter of 2023 assuming that we elect not to pursue and consummate strategic transactions prior to that time. However, we will require additional funds if we want to fully implement our business plan and growth strategy, including strategic transactions, which funds could come in the form of equity, debt (including secured debt) or a combination of the two. Additional financing may not be available to us, or if available, then it may not be available upon terms and conditions acceptable to us. If adequate funds are not available, then we may be required to delay, reduce or eliminate product development or clinical programs. Our inability to take advantage of opportunities in the industry because of capital constraints may have a material adverse effect on our business and our prospects. If we fail to obtain the capital necessary to fund our operations, we will be unable to advance our development programs and complete our clinical trials.</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our research and development expenses could exceed our current expectations. This could occur for many reasons, including:</w:t>
      </w:r>
    </w:p>
    <w:p>
      <w:pPr>
        <w:spacing w:after="0" w:line="225" w:lineRule="exact"/>
        <w:rPr>
          <w:sz w:val="20"/>
          <w:szCs w:val="20"/>
          <w:color w:val="auto"/>
        </w:rPr>
      </w:pPr>
    </w:p>
    <w:p>
      <w:pPr>
        <w:ind w:left="880" w:right="140" w:hanging="440"/>
        <w:spacing w:after="0" w:line="282" w:lineRule="auto"/>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of our product candidates and co-development candidates fail in clinical or preclinical studies and we are forced to seek additional product candidates;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co-development candidates require more extensive clinical or preclinical testing than we currently expect;</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advance more of our product candidates and co-development candidates than expected into costly later stage clinical trials;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advance more preclinical product candidates and co-development candidates than expected into early-stage clinical trials;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or consider it advisable, to acquire or license rights from one or more third parties; or</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to acquire or license rights to additional product candidates and co-development candidates or new technologies.</w:t>
      </w:r>
    </w:p>
    <w:p>
      <w:pPr>
        <w:spacing w:after="0" w:line="225"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While we expect to seek additional funding through public or private financings, we may not be able to obtain financing on acceptable terms, or at all. In addition, the terms of our financings may be dilutive to, or otherwise adversely affect, holders of our common stock and other capital securities. We may also seek additional funds through arrangements with collaborators or other third parties.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including some or all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do not have sufficient cash to fully implement our business plan.</w:t>
      </w:r>
    </w:p>
    <w:p>
      <w:pPr>
        <w:spacing w:after="0" w:line="22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We have experienced a lack of adequate capital resources causing us to be unable to fully implement our full business plan. We believe that we need to raise or otherwise obtain additional financing beyond our current cash position in order to satisfy our existing obligations and fully implement our business plan. We do not expect to have positive cash flow until the end of 2023 or longer. If we are not successful in obtaining additional financing, including pursuant to this offering, we will not be able to fully implement our business plan and we may not be able to continue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a history of operating losses, and expect to incur significant additional operating losses.</w:t>
      </w:r>
    </w:p>
    <w:p>
      <w:pPr>
        <w:spacing w:after="0" w:line="229"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We began our business in 2017 and have a limited operating history. Although we have enlisted the assistance of pharmaceutical experts, our lack of experience may cause us to encounter unforeseen problems that could have a material adverse effect on our business and financial condition. Further, there is limited historical financial information upon which to base an evaluation of our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drug development and approval process is uncertain, time-consuming and expensive.</w:t>
      </w:r>
    </w:p>
    <w:p>
      <w:pPr>
        <w:spacing w:after="0" w:line="229"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process of obtaining and maintaining regulatory approvals for new therapeutic products is lengthy, expensive and uncertain. It also can vary substantially based on the type, complexity, and novelty of the product. We, or our co-development partners, must provide the FDA and foreign regulatory authorities with preclinical and clinical data demonstrating that our products are safe and effective before they can be approved for commercial sale. Clinical development, including preclinical testing, is a long, expensive and uncertain process. It may take us several years to complete our testing, and failure can occur at any stage of testing. Any preclinical or clinical test may fail to produce results satisfactory to the FDA. Preclinical and clinical data can be interpreted in different ways, which could delay, limit or prevent regulatory approval. Negative or inconclusive results from a preclinical study or clinical trial, adverse medical events during a clinical trial or safety issues resulting from products of the same class of drug could cause a preclinical study or clinical trial to be repeated or a program to be terminated, even if other studies or trials relating to the program are successful.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be required to sustain and further build our intellectual property rights.</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do not currently have any intellectual property rights in our name in respect of our current assets, and instead have rights in respect of our current assets through agreements with third parties. We intend to fully protect any product, formulation and process that we develop with appropriate intellectual property registrations. If we fail to sustain and further build our direct and indirect intellectual property rights, competitors will be able to take advantage of our research and development efforts to develop competing products. If we are not able to protect our proprietary technology, trade secrets, and know-how, our competitors may use our inventions to develop competing products. Our future patents and patent applications, even if granted, may not protect us against our competitors. Patent positions generally, including those of other pharmaceutical and biotechnology companies, are or will be generally uncertain and involve complex legal, scientific and factual questions. The standards which the United States Patent and Trademark Office uses to grant patents, and the standards which courts use to interpret patents, are not always applied predictably or uniformly and can change, particularly as new technologies develop. Consequently, the level of protection, if any, that will be provided by our direct or indirect patent rights from time to time if we attempt to enforce them, and they are challenged, is uncertain. In addition, the type and extent of patent claims that will be issued to us in the future is uncertain. Any patents that are issued may not contain claims that permit us to stop competitors from using similar technology.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52" w:name="page53"/>
    <w:bookmarkEnd w:id="52"/>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In addition, we may also rely on unpatented technology, trade secrets, and confidential information. We may not be able to effectively protect our rights to this technology or information. Other parties may independently develop substantially equivalent information and techniques or otherwise gain access to or disclose our technology. We will generally require each of our employees, consultants, collaborators, and certain contractors to execute a confidentiality agreement at the commencement of an employment, consulting, collaborative, or contractual relationship with us. However, these agreements may not provide effective protection of our technology or information or, in the event of unauthorized use or disclosure, they may not provide adequate remedies.</w:t>
      </w:r>
    </w:p>
    <w:p>
      <w:pPr>
        <w:spacing w:after="0" w:line="187"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Patent positions are often uncertain and involve complex legal and factual questions. In addition, the laws of some foreign countries do not protect proprietary rights to the same extent as the laws of the United States. Whether filed in the United States or abroad, our patent applications may be challenged or may fail to result in issued patents. In addition,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or fail to provide us with any competitive advantages. We may not have the funds available to protect our patents or other technology; such protection is costly and can result in further litigation expenses.</w:t>
      </w:r>
    </w:p>
    <w:p>
      <w:pPr>
        <w:spacing w:after="0" w:line="18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If we do not obtain or we are unable to maintain adequate patent or trade secret protection for our products in the United States, competitors could duplicate them without repeating the extensive testing that we will be required to undertake to obtain approval of the products by the FDA. Regardless of any patent protection, under the current statutory framework the FDA is prohibited by law from approving any generic version of any of our products for a period of years that would be determined based on the nature of the product (i.e. an orphan drugs would get 7 years, a new chemical entity would get</w:t>
      </w:r>
    </w:p>
    <w:p>
      <w:pPr>
        <w:spacing w:after="0" w:line="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5 years and a new clinical investigation would get 3 years). Upon the expiration of that period, or if that time period is altered, the FDA could approve a generic version of our product unless we have patent protection sufficient for us to block that generic version. Without sufficient patent protection, the applicant for a generic version of our product would be required only to conduct a relatively inexpensive study to show that its product is bioequivalent to our product and may not have to repeat the studies that we will need to conduct to demonstrate that the product is safe and effective. In the absence of adequate patent protection in other countries, competitors may similarly be able to obtain regulatory approval in those countries of products that duplicate our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be required to comply with our obligations in our intellectual property licenses and other agreements with third parties.</w:t>
      </w:r>
    </w:p>
    <w:p>
      <w:pPr>
        <w:spacing w:after="0" w:line="229"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If we fail to comply with our obligations in our intellectual property licenses and other agreements with third parties, we could lose license rights that are important to our business. We are not currently party to any intellectual property license agreement with any third parties, but we anticipate that in-licensing and co-development will be strategies that we utilize as we continue to pursue our growth strategy. We expect to enter into licenses and co-development and other agreements in the future, and we expect these agreements to impose, various diligences, milestone payment, royalty, insurance and other obligations on us. If we fail to comply with these obligations, the licensor may have the right to terminate the license, in which event we might not be able to market any product that is covered by the licensed patents.</w:t>
      </w:r>
    </w:p>
    <w:p>
      <w:pPr>
        <w:spacing w:after="0" w:line="187"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may need to resort to litigation to enforce or defend our intellectual property rights, including any patents issued to us. If a competitor or collaborator files a patent application claiming technology also invented by us, in order to protect our rights, we may have to participate in an expensive and time-consuming interference proceeding before the United States Patent and Trademark Office. We cannot guarantee that our product candidates will be free of claims by third parties alleging that we have infringed their intellectual property rights. Third parties may assert that we are employing their proprietary technologies without authorization and they may resort to litigation to attempt to enforce their rights. Third parties may have or obtain patents in the future and claim that the use of our technology or any of our product candidates infringes their patents. We may not be able to develop or commercialize combination product candidates because of patent protection others have. Our business will be harmed if we cannot obtain a necessary or desirable license, can obtain such a license only on terms we consider to be unattractive or unacceptable, or if we are unable to redesign our product candidates or processes to avoid actual or potential patent or other intellectual property infringement. Obtaining, protecting and defending patent and other intellectual property rights can be expensive and may require us to incur substantial costs, including the diversion of management and technical personnel. An unfavorable ruling in patent or intellectual property litigation could subject us to significant liabilities to third parties, require us to cease developing, manufacturing or selling the affected products or using the affected processes, require us to license the disputed rights from third parties, or result in awards of substantial damages against us.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3" w:name="page54"/>
    <w:bookmarkEnd w:id="53"/>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would prevail in any intellectual property infringement action, will be able to obtain a license to any third-party intellectual property on commercially reasonable terms, successfully develop non-infringing alternatives on a timely basis, or license non-infringing alternatives, if any exist, on commercially reasonable terms. Any significant intellectual property impediment to our ability to develop and commercialize our products could seriously harm our business and prospects.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litigation or other litigation in connection with our intellectual property rights may lead to publicity that may harm our reputation and the value of our common stock may decline.</w:t>
      </w:r>
    </w:p>
    <w:p>
      <w:pPr>
        <w:spacing w:after="0" w:line="159"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During the course of any patent litigation, there may be public announcements of the results of hearings, motions, and other interim proceedings or developments in the litigation. If securities analysts or investors regard these announcements as negative, the value of our common stock may decline. General proclamations or statements by key public figures may also have a negative impact on the perceived value of our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Protecting and defending against intellectual property claims may have a material adverse effect on our business.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From time to time, we may receive notice that others have infringed on our proprietary rights or that we have infringed on the intellectual property rights of others. There can be no assurance that infringement or invalidity claims will not materially adversely affect our business, financial condition or results of operations. Regardless of the validity or the success of the assertion of claims, we could incur significant costs and diversion of resources in protecting or defending against claims, which could have a material adverse effect on our business, financial condition or results of operations. We may not have the funds or resources available to protect our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competitors and potential competitors may develop products and technologies that make ours less attractive or obsolete.</w:t>
      </w:r>
    </w:p>
    <w:p>
      <w:pPr>
        <w:spacing w:after="0" w:line="229"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Many companies, universities, and research organizations developing competing product candidates have greater resources and significantly greater experience in financial, research and development, manufacturing, marketing, sales, distribution, and technical regulatory matters than we have. In addition, many competitors have greater name recognition and more extensive collaborative relationships. Our competitors could commence and complete clinical testing of their product candidates, obtain regulatory approvals, and begin commercial-scale manufacturing of their products faster than we or our co-development partners are able to for our products. They could develop products that would render our product candidates and co-development candidates, and those of our collaborators, obsolete and noncompetitive. If we are unable to compete effectively against these companies, then we may not be able to commercialize our product candidates or achieve a competitive position in the market. This would adversely affect our ability to generate revenues.</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biotechnology and pharmaceutical industries may result in competing products, superior marketing of other products and lower revenues or profits for us.</w:t>
      </w:r>
    </w:p>
    <w:p>
      <w:pPr>
        <w:spacing w:after="0" w:line="159"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There are many companies that are seeking to develop products and therapies for the treatment of the same diseases that we are currently targeting.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do in undertaking preclinical testing and human clinical studies of new pharmaceutical products and in obtaining regulatory approvals of human therapeutic products. Accordingly, our competitors may succeed in obtaining FDA approval for superior products.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54" w:name="page55"/>
    <w:bookmarkEnd w:id="54"/>
    <w:p>
      <w:pPr>
        <w:ind w:left="440"/>
        <w:spacing w:after="0"/>
        <w:rPr>
          <w:sz w:val="20"/>
          <w:szCs w:val="20"/>
          <w:color w:val="auto"/>
        </w:rPr>
      </w:pPr>
      <w:r>
        <w:rPr>
          <w:rFonts w:ascii="Times New Roman" w:cs="Times New Roman" w:eastAsia="Times New Roman" w:hAnsi="Times New Roman"/>
          <w:sz w:val="18"/>
          <w:szCs w:val="18"/>
          <w:color w:val="auto"/>
        </w:rPr>
        <w:t>Other risks and uncertainties include:</w:t>
      </w:r>
    </w:p>
    <w:p>
      <w:pPr>
        <w:spacing w:after="0" w:line="225" w:lineRule="exact"/>
        <w:rPr>
          <w:sz w:val="20"/>
          <w:szCs w:val="20"/>
          <w:color w:val="auto"/>
        </w:rPr>
      </w:pPr>
    </w:p>
    <w:p>
      <w:pPr>
        <w:ind w:left="880" w:hanging="440"/>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preclinical and clinical development of our products and services.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amounts of products for development and commercialization activities.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successfully enforce adequate patent and other proprietary rights protection of our products and services.</w:t>
      </w:r>
    </w:p>
    <w:p>
      <w:pPr>
        <w:spacing w:after="0" w:line="225" w:lineRule="exact"/>
        <w:rPr>
          <w:rFonts w:ascii="Times New Roman" w:cs="Times New Roman" w:eastAsia="Times New Roman" w:hAnsi="Times New Roman"/>
          <w:sz w:val="18"/>
          <w:szCs w:val="18"/>
          <w:color w:val="auto"/>
        </w:rPr>
      </w:pPr>
    </w:p>
    <w:p>
      <w:pPr>
        <w:ind w:left="880" w:right="1000" w:hanging="440"/>
        <w:spacing w:after="0" w:line="282" w:lineRule="auto"/>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validity and enforceability of patents and other proprietary rights held by third parties and their impact on our ability to commercialize our products and services.</w:t>
      </w:r>
    </w:p>
    <w:p>
      <w:pPr>
        <w:spacing w:after="0" w:line="161" w:lineRule="exact"/>
        <w:rPr>
          <w:rFonts w:ascii="Times New Roman" w:cs="Times New Roman" w:eastAsia="Times New Roman" w:hAnsi="Times New Roman"/>
          <w:sz w:val="18"/>
          <w:szCs w:val="18"/>
          <w:color w:val="auto"/>
        </w:rPr>
      </w:pPr>
    </w:p>
    <w:p>
      <w:pPr>
        <w:ind w:left="880" w:right="420" w:hanging="440"/>
        <w:spacing w:after="0" w:line="282" w:lineRule="auto"/>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of the size and characteristics of the markets to be addressed by our products and services, including growth projections.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services.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new patients for our products and services.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information regarding the products and resources of our competitors and potential competitors.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and timing of submissions to and decisions made by the US Food and Drug Administration (FDA) and other regulatory agencies.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for our products and services from third-party payors, and the extent of such coverage.</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 collaboration and distribution arrangements.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funding of our collaborations and joint ventures, if any are ultimately established.</w:t>
      </w:r>
    </w:p>
    <w:p>
      <w:pPr>
        <w:spacing w:after="0" w:line="225"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of our operations due to terrorist activities and armed conflict, including as a result of the disruption of operation of our subsidiaries and our customers, suppliers, distributors, couriers, collaborative partners, licensees and clinical trial sites.</w:t>
      </w:r>
    </w:p>
    <w:p>
      <w:pPr>
        <w:spacing w:after="0" w:line="16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180"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We have limited experience in conducting the clinical trials required to obtain regulatory approval. We may not be able to conduct clinical trials at preferred sites, enlist clinical investigators, enroll sufficient numbers of participants, or begin or successfully complete clinical trials in a timely fashion, if at all. Any failure to perform may delay or terminate the trials. Once Phase 1 human trials are initiated, the pre-defined clinical outcome(s) may not be achieved. As a result, additional clinical trials may be required if clinical trial results are negative or inconclusive, which will require us to incur additional costs and significant delays. If we do not receive the necessary regulatory approvals, we will not be able to generate product revenues and may not become profitable.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Related to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costly and lengthy, and we may not be able to successfully obtain all required regulatory approvals.</w:t>
      </w:r>
    </w:p>
    <w:p>
      <w:pPr>
        <w:spacing w:after="0" w:line="229"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preclinical development, clinical trials, manufacturing, marketing and labelling of pharmaceuticals are all subject to extensive regulation by numerous governmental authorities and agencies in the United States and other countries. We must obtain regulatory approval for each of our product candidates before marketing or selling any of them. It is not possible to predict how long the approval processes of the FDA or any other applicable federal or foreign regulatory authority or agency for any of our products will take or whether any such approvals ultimately will be granted. The FDA and foreign regulatory agencies have substantial discretion in the drug approval process, and positive results in preclinical testing or early phases of clinical studies offer no assurance of success in later phases of the approval process. Generally, preclinical and clinical testing of products can take many years and require the expenditure of substantial resources, and the data obtained from these tests and trials can be susceptible to varying interpretations that could delay, limit or prevent regulatory approval. If we encounter significant delays in the regulatory process that result in excessive costs, this may prevent us from continuing to develop our product candidates. Any delay in obtaining, or failure to obtain, approvals could adversely affect the marketing of our products and our ability to generate product revenue. The risks associated with the approval process include:</w:t>
      </w:r>
    </w:p>
    <w:p>
      <w:pPr>
        <w:spacing w:after="0" w:line="194" w:lineRule="exact"/>
        <w:rPr>
          <w:sz w:val="20"/>
          <w:szCs w:val="20"/>
          <w:color w:val="auto"/>
        </w:rPr>
      </w:pPr>
    </w:p>
    <w:p>
      <w:pPr>
        <w:ind w:left="880" w:hanging="440"/>
        <w:spacing w:after="0"/>
        <w:tabs>
          <w:tab w:leader="none" w:pos="8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to meet a regulatory agency’s requirements for safety, efficacy and quality;</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on the indicated uses for which a product may be marketed;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regulatory requirements and guidelines.</w:t>
      </w:r>
    </w:p>
    <w:p>
      <w:pPr>
        <w:spacing w:after="0" w:line="22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approvals for marketing our product candidates, if we fail to comply with continuing regulatory requirements, we could lose our regulatory approvals, and our business would be adversely affected.</w:t>
      </w:r>
    </w:p>
    <w:p>
      <w:pPr>
        <w:spacing w:after="0" w:line="15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FDA continues to review products even after they receive initial approval. If we receive approval to commercialize any product candidates, the manufacturing, marketing and sale of these drugs will be subject to continuing regulation, including compliance with quality systems regulations, good manufacturing practices, adverse event requirements, and prohibitions on promoting a product for unapproved uses. Enforcement actions resulting from our failure to comply with government and regulatory requirements could result in fines, suspension of approvals, withdrawal of approvals, product recalls, product seizures, mandatory operating restrictions, criminal prosecution, civil penalties and other actions that could impair the manufacturing, marketing and sale of our potential products and our ability to conduct our business.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159"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Even if we receive regulatory approval for our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we may be required to conduct additional clinical trials, make changes in labeling of our product, reformulate our product or make changes and obtain new approvals for our and our suppliers’ manufacturing facilities.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adversely affect our business.</w:t>
      </w:r>
    </w:p>
    <w:p>
      <w:pPr>
        <w:spacing w:after="0" w:line="229"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The efforts of governmental and third-party payers to contain or reduce the costs of healthcare may adversely affect the business and financial condition of pharmaceutical companies. In the United States and in foreign jurisdictions there have been, and we expect that there will continue to be, a number of legislative and regulatory proposals aimed at changing the healthcare system. For example, in some countries other than the United States, pricing of prescription drugs is subject to government control, and we expect proposals to implement similar controls in the United States to continue. The pendency or approval of such proposals could result in a decrease in our common stock value or limit our ability to raise capital or to enter into collaborations or license rights to our products.</w:t>
      </w:r>
    </w:p>
    <w:p>
      <w:pPr>
        <w:spacing w:after="0" w:line="18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legislation may increase the pressure to reduce prices of pharmaceutical products paid for by Medicare, which could adversely affect our revenues, if any.</w:t>
      </w:r>
    </w:p>
    <w:p>
      <w:pPr>
        <w:spacing w:after="0" w:line="159"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or MMA, expanded Medicare coverage for drug purchases by the elderly and disabled beginning in 2006. The legislation uses formularies, preferred drug lists and similar mechanisms that may limit the number of drugs that will be covered in any therapeutic class or reduce the reimbursement for some of the drugs in a class. More recently, the Patient Protection and Affordable Care Act of 2010 also contained certain provisions with the potential to affect pricing of pharmaceutical products.</w:t>
      </w:r>
    </w:p>
    <w:p>
      <w:pPr>
        <w:spacing w:after="0" w:line="180"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As a result of the expansion of legislation, including recent healthcare insurance legislation, and the expansion of federal coverage of drug products, we expect that there will be additional pressure to contain and reduce costs. These cost reduction initiatives could decrease the coverage and price that we receive for our products in the future and could seriously harm our business. While the MMA applies only to drug benefits for Medicare beneficiaries, private payers often follow Medicare coverage policy and payment limitations in setting their own reimbursement systems, and any limits on or reductions in reimbursement that occur in the Medicare program may result in similar limits on or reductions in payments from private payers.</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laws or regulations on drug importation could make lower cost versions of our future products available, which could adversely affect our revenues, if any.</w:t>
      </w:r>
    </w:p>
    <w:p>
      <w:pPr>
        <w:spacing w:after="0" w:line="15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prices of some drugs are lower in other countries than in the United States because of government regulation and market conditions. Various proposals have been advanced to permit the importation of drugs from other countries to provide lower cost alternatives to the products available in the United States. In addition, the MMA requires the Secretary of Health and Human Services to promulgate regulations for drug reimportation from Canada into the United States under some circumstances, including when the drugs are sold at a lower price than in the United States. A prime example of the effort to provide safe, lower cost drugs to consumers is Safe Importation Action Plan that was released by the Department of Health and Human Services (HHS) and the Food and Drug Administration (FDA), which plan is describes steps the HHS and FDA will take to allow the safe importation of certain drugs originally intended for non-US markets. If the laws or regulations are changed to permit or more easily permit the importation of drugs into the United States in circumstances that are currently not permitted, such a change could have an adverse effect on our business by making available lower priced alternatives to our future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and pricing approvals in foreign jurisdictions could delay or prevent commercialization of our products abroad.</w:t>
      </w:r>
    </w:p>
    <w:p>
      <w:pPr>
        <w:spacing w:after="0" w:line="22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If we succeed in developing any products, we intend to market them in the European Union and other foreign jurisdictions. In order to do so, we must obtain separate regulatory approvals and comply with numerous and varying regulatory requirements. The approval procedure varies among countries and can involve additional testing. The time required to obtain approval abroad may differ from that required to obtain FDA approval. The foreign regulatory approval process may include all of the risks associated with obtaining FDA approval and additional risks associated with requirements particular to those foreign jurisdictions where we will seek regulatory approval of our products. We may not obtain foreign regulatory approvals on a timely basis, if at all. Approval by the FDA does not ensure approval by regulatory authorities in other countries, and approval by one foreign regulatory authority does not ensure approval by regulatory authorities in other foreign countries or by the FDA. We and our collaborators may not be able to file for regulatory approvals and may not receive necessary approvals to commercialize our products in any market outside the United States. The failure to obtain these approvals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 and Structure</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holding company structure makes us dependent on our subsidiaries for our cash flow and could serve to subordinate the rights of our stockholders to the rights of creditors of our subsidiaries, in the event of an insolvency or liquidation of any such subsidiary.</w:t>
      </w:r>
    </w:p>
    <w:p>
      <w:pPr>
        <w:spacing w:after="0" w:line="159"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Our company acts as a holding company and, accordingly, substantially all of our operations are conducted through our subsidiaries. Such subsidiaries will be separate and distinct legal entities. As a result, substantially all of our cash flow will depend upon the earnings of our subsidiaries. In addition, we will depend on the distribution of earnings, loans or other payments by our subsidiaries. No subsidiary will have any obligation to provide our company with funds for our payment obligations. If there is an insolvency, liquidation or other reorganization of any of our subsidiaries, our stockholders will have no right to proceed against their assets. Creditors of those subsidiaries will be entitled to payment in full from the sale or other disposal of the assets of those subsidiaries before our company, as a stockholder, would be entitled to receive any distribution from that sale or disposal.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Business Combination may not, if consummated, have the intended benefits.</w:t>
      </w:r>
    </w:p>
    <w:p>
      <w:pPr>
        <w:spacing w:after="0" w:line="229"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There is no assurance that the Business Combination will be consummated, or that if it is consummated that Coeptis and Bull Horn will successfully operate as combined entities following the closing of the merger. Even if the Business Combination is consummated, there is no assurance that we, our stockholders or the stockholders of the Company will experience any benefits of the type that we expect to experience.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Bull Horn</w:t>
      </w:r>
    </w:p>
    <w:p>
      <w:pPr>
        <w:spacing w:after="0" w:line="225"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Bull Horn has identified a material weakness in its internal control over financial reporting and disclosure controls and procedures relating to the accounting for complex financial instruments and the timely reporting of accrued expenses in the proper reporting period. This material weakness could continue to adversely affect Bull Horn’s ability to report its results of operations and financial condition accurately and in a timely manner.</w:t>
      </w:r>
    </w:p>
    <w:p>
      <w:pPr>
        <w:spacing w:after="0" w:line="175"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Bull Horn’s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Bull Horn’s management also evaluates the effectiveness of our internal controls and we will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Bull Horn has identified, in light of the prior reclassification of its warrants from equity to liability, as well as the reclassification of its public shares as temporary equity, a material weakness in its internal controls over financial reporting relating to its accounting for complex financial instruments. It has also identified instances where accrued expenses have not been timely identified in its financial reporting process.</w:t>
      </w:r>
    </w:p>
    <w:p>
      <w:pPr>
        <w:spacing w:after="0" w:line="176"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While Bull Horn has implemented a remediation plan to remediate the material weakness surrounding its historical accounting for complex financial instruments, it can give no assurance that the measures it has taken will prevent any future material weaknesses or deficiencies in internal control over financial reporting. Even though Bull Horn believes it has strengthened its controls and procedures, in the future those controls and procedures may not be adequate to prevent or identify irregularities or errors or to facilitate the fair presentation of its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58" w:name="page59"/>
    <w:bookmarkEnd w:id="58"/>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Bull Horn’s independent registered public accounting firm’s report contains an explanatory paragraph that expresses substantial doubt about its ability to continue as a “going concern.”</w:t>
      </w:r>
    </w:p>
    <w:p>
      <w:pPr>
        <w:spacing w:after="0" w:line="159" w:lineRule="exact"/>
        <w:rPr>
          <w:sz w:val="20"/>
          <w:szCs w:val="20"/>
          <w:color w:val="auto"/>
        </w:rPr>
      </w:pPr>
    </w:p>
    <w:p>
      <w:pPr>
        <w:ind w:right="200" w:firstLine="432"/>
        <w:spacing w:after="0" w:line="256" w:lineRule="auto"/>
        <w:rPr>
          <w:sz w:val="20"/>
          <w:szCs w:val="20"/>
          <w:color w:val="auto"/>
        </w:rPr>
      </w:pPr>
      <w:r>
        <w:rPr>
          <w:rFonts w:ascii="Times New Roman" w:cs="Times New Roman" w:eastAsia="Times New Roman" w:hAnsi="Times New Roman"/>
          <w:sz w:val="18"/>
          <w:szCs w:val="18"/>
          <w:color w:val="auto"/>
        </w:rPr>
        <w:t>As of June 30, 2022, Bull Horn had approximately $84,153 in cash and may not have sufficient liquidity to fund its working capital needs. Further, Bull Horn has incurred and expects to continue to incur significant costs in pursuit of its financing and acquisition plans, including the Business Combination. Bull Horn cannot assure you that its plans to raise capital or to consummate an initial business combination, including the Business Combination, will be successful. These factors, among others, raise substantial doubt about its ability to continue as a going concern. The financial statements contained elsewhere in this proxy statement do not include any adjustments that might result from its inability to consummate the Business Combination or its inability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Bull Horn may become involved in general litigation or legal proceedings</w:t>
      </w:r>
    </w:p>
    <w:p>
      <w:pPr>
        <w:spacing w:after="0" w:line="22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Bull Horn may become involved in various lawsuits and legal proceedings, which arise in the ordinary course of business. However, litigation is subject to inherent uncertainties, and an adverse result in these or other matters may arise from time to time that may harm Bull Horn’s business.</w:t>
      </w:r>
    </w:p>
    <w:p>
      <w:pPr>
        <w:spacing w:after="0" w:line="17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Bull Horn’s shareholders may be held liable for claims by third parties against Bull Horn to the extent of distributions received by them upon Redemption of their shares.</w:t>
      </w:r>
    </w:p>
    <w:p>
      <w:pPr>
        <w:spacing w:after="0" w:line="15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If Bull Horn is forced to enter into an insolvent liquidation, any distributions received by shareholders could be viewed as an unlawful payment if it was proved that immediately following the date on which the distribution was made, Bull Horn was unable to pay its debts as they fall due in the ordinary course of business. As a result, a liquidator could seek to recover all amounts received by Bull Horn’s shareholders. Furthermore, Bull Horn’s directors may be viewed as having breached their fiduciary duties to Bull Horn or Bull Horn’s creditors and/or having acted in bad faith, and thereby exposing themselves and Bull Horn to claims, by paying public shareholders from the trust account prior to addressing the claims of creditors. There is no assurance that claims will not be brought against Bull Horn for these reasons.</w:t>
      </w:r>
    </w:p>
    <w:p>
      <w:pPr>
        <w:spacing w:after="0" w:line="18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Although Bull Horn seeks to have all vendors, service providers, prospective target businesses or other entities with which it does business execute agreements with Bull Horn waiving any right, title, interest or claim of any kind in or to any monies held in the trust account for the benefit of Bull Horn’s public shareholders, as well as distributions to public shareholders, such parties may not execute such agreements, or even if they execute such agreements they may not be prevented from bringing claims against the public shareholders or claims challenging the enforceability of the waiver.</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the business, investments and results of operations of Bull Horn.</w:t>
      </w:r>
    </w:p>
    <w:p>
      <w:pPr>
        <w:spacing w:after="0" w:line="159"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Bull Horn is subject to laws and regulations enacted by national, regional and local governments. In particular, Bull Horn is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the business, investments and results of operations of Bull Horn. In addition, a failure to comply with applicable laws or regulations, as interpreted and applied, could have a material adverse effect on Bull Horn’s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59" w:name="page60"/>
    <w:bookmarkEnd w:id="59"/>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controls a substantial interest in Bull Horn and thus may exert a substantial influence on actions requiring a shareholder vote, potentially in a manner that you do not support.</w:t>
      </w:r>
    </w:p>
    <w:p>
      <w:pPr>
        <w:spacing w:after="0" w:line="15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sponsor owns 36.6% of Bull Horn’s issued and outstanding ordinary shares. Accordingly, it may exert a substantial influence on actions requiring a shareholder vote, including the matters to be considered at the Shareholders Meeting, potentially in a manner that Bull Horn shareholders do not support. If the sponsor purchases any additional ordinary shares in the aftermarket or in privately negotiated transactions, this would increase its control. Neither the sponsor nor, to Bull Horn’s knowledge, any of Bull Horn’s officers or directors, have any current intention to purchase additional securities, other than as may be disclosed in this proxy statement. Factors that would be considered in making such additional purchases would include consideration of the current trading price of Bull Horn’s ordinary shares. Bull Horn will not hold an annual meeting of shareholders to elect new directors prior to the consummation of the Business Combination, in which case all of the current directors will continue in office until at least the completion of the Business Combination. Accordingly, the sponsor will continue to exert control at least until the consummation of the Business Combination.</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redeem unexpired Public Warrants prior to their exercise at a time that is disadvantageous to you, thereby making Bull Horn Public Warrants worthless.</w:t>
      </w:r>
    </w:p>
    <w:p>
      <w:pPr>
        <w:spacing w:after="0" w:line="15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Following the Closing, the Company will have the ability to redeem outstanding Public Warrants in whole and not in part, at a price of $0.01 per warrant, at any time while they are exercisable and prior to their expiration, provided that the last reported sales price of the Company Common Stock equals or exceeds $16.50 per share (as adjusted for stock splits, stock dividends, reorganizations and recapitalizations) for any 20 trading days within a 30-trading-day period ending on the third trading day before the Company sends the 30 days’ prior written notice of redemption to the holders of Public Warrants. In the event that the Company elects to redeem all of the redeemable Public Warrants as described above, the Company will fix a date for the redemption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Notice of redemption will be mailed by first class mail, postage prepaid, by the Company not less than 30 days prior to the Redemption Date to the registered holders of the redeemable Public Warrants at their last addresses as they appear on the registration books. Any notice mailed in the manner provided in the warrant agreement will be conclusively presumed to have been duly given whether or not the registered holder received such notice.</w:t>
      </w:r>
    </w:p>
    <w:p>
      <w:pPr>
        <w:spacing w:after="0" w:line="188"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If and when the Public Warrants become redeemable by us, the Company may exercise its redemption right even if the Company is unable to register or qualify the underlying securities for sale under all applicable state securities laws. 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may be substantially less than the market value of your Public Warrants. Bull Horn’s ordinary shares reached a high of $10.29 per share in the second quarter of 2022, which is well below the Public Warrants’ redemption threshold of $16.50 per share.</w:t>
      </w:r>
    </w:p>
    <w:p>
      <w:pPr>
        <w:spacing w:after="0" w:line="18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If the Company exercises its rights to redeem the Public Warrants, the value received upon exercise of the Public Warrants (1) may be less than the value the holders would have received if they had exercised their Public Warrants at a later time where the underlying share price is higher and (2) may not fully compensate the holders for the intrinsic value of the Public Warrants, if the common stock price declines after the receipt date of the redemption notice. The Private Placement Warrants are not subject to redemptions and may be exercised on a cashless basis.</w:t>
      </w:r>
    </w:p>
    <w:p>
      <w:pPr>
        <w:spacing w:after="0" w:line="180"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None of the Private Placement Warrants will be redeemable by the Company so long as they are held by their initial purchasers — the sponsor, Imperial, I-Bankers and Northland — or their permitted transferees.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60" w:name="page61"/>
    <w:bookmarkEnd w:id="60"/>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Bull Horn is an emerging growth company within the meaning of the Securities Act and Bull Horn has taken advantage of certain exemptions from disclosure requirements available to emerging growth companies; this could make the Company’s securities less attractive to investors and may make it more difficult to compare the Company’s performance with other public companies.</w:t>
      </w:r>
    </w:p>
    <w:p>
      <w:pPr>
        <w:spacing w:after="0" w:line="175"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Bull Horn (and the Company following the Business Combination) is an “emerging growth company” within the meaning of the Securities Act, as modified by the JOBS Act and has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Bull Horn’s periodic reports and proxy statements and exemptions from the requirements of holding a nonbinding advisory vote on certain executive compensation matters. As a result, Bull Horn’s shareholders may not have access to certain information they may deem important. Bull Horn and the Company may be an emerging growth company for up to five years from the IPO, although circumstances could cause the loss of that status earlier, including if the market value of the common stock of the Company held by non-affiliates exceeds $700 million as of the last business day in any August before that time, in which case the Company would no longer be an emerging growth company as of the following November 3. Bull Horn cannot predict whether investors will find its (or the Company’s) securities less attractive because Bull Horn (or the Company) rely on these exemptions. If some investors find the securities less attractive as a result of reliance on these exemptions, the trading prices of the Company’s securities may be lower than they otherwise would be, there may be a less active trading market for the Company’s securities and the trading prices of the securities may be more volatile.</w:t>
      </w:r>
    </w:p>
    <w:p>
      <w:pPr>
        <w:spacing w:after="0" w:line="190"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Bull Horn has elected not to opt out of such extended transition period. Accordingly, when a standard is issued or revised and it has different application dates for public or private companies, Bull Horn (or the Company following the Business Combination), as an emerging growth company, will adopt the new or revised standard at the time private companies adopt the new or revised standard, unless early adoption is permitted by the standard. This may make comparison of Bull Horn’s and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obligations under the Sarbanes-Oxley Act may make it more difficult for Bull Horn to effectuate the Business Combination, require substantial financial and management resources and increase the time and costs of completing an acquisition.</w:t>
      </w:r>
    </w:p>
    <w:p>
      <w:pPr>
        <w:spacing w:after="0" w:line="159" w:lineRule="exact"/>
        <w:rPr>
          <w:sz w:val="20"/>
          <w:szCs w:val="20"/>
          <w:color w:val="auto"/>
        </w:rPr>
      </w:pPr>
    </w:p>
    <w:p>
      <w:pPr>
        <w:ind w:right="140" w:firstLine="432"/>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requires that Bull Horn evaluate and report on its system of internal controls. Following the initial Business Combination, if the Company is deemed to be a large accelerated filer or an accelerated filer, it will be required to comply with the independent registered public accounting firm attestation requirement on its internal control over financial reporting. Further, for as long as the Company remains an emerging growth company, it will not be required to comply with the independent registered public accounting firm attestation requirement on its internal control over financial reporting. Following the Business Combination, the Company will be required to assure that it is in compliance with the provisions of the Sarbanes-Oxley Act regarding adequacy of its internal controls. The need to develop the internal control system to achieve compliance with the Sarbanes-Oxley Act may increase the time and costs necessary to complete the Business Combination as well as impose obligations of the Company following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Stockholders Meeting</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Stockholders Meeting will be held at 10:00 a.m. Eastern time, on October 26, 2022, as a virtual meeting, or at such other date, time and place to which such meeting may be adjourned or postponed, to consider and vote upon the Proposals. You will be able to attend, vote your shares, and submit questions during the special meeting via a live webcast available at www.virtualshareholdermeeting.com/COEP2022SM.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Stockholders Meeting</w:t>
      </w:r>
    </w:p>
    <w:p>
      <w:pPr>
        <w:spacing w:after="0" w:line="229" w:lineRule="exact"/>
        <w:rPr>
          <w:sz w:val="20"/>
          <w:szCs w:val="20"/>
          <w:color w:val="auto"/>
        </w:rPr>
      </w:pPr>
    </w:p>
    <w:p>
      <w:pPr>
        <w:ind w:left="440" w:right="280"/>
        <w:spacing w:after="0" w:line="282" w:lineRule="auto"/>
        <w:rPr>
          <w:sz w:val="20"/>
          <w:szCs w:val="20"/>
          <w:color w:val="auto"/>
        </w:rPr>
      </w:pPr>
      <w:r>
        <w:rPr>
          <w:rFonts w:ascii="Times New Roman" w:cs="Times New Roman" w:eastAsia="Times New Roman" w:hAnsi="Times New Roman"/>
          <w:sz w:val="18"/>
          <w:szCs w:val="18"/>
          <w:color w:val="auto"/>
        </w:rPr>
        <w:t>At the Stockholders Meeting, Coeptis is asking holders of its common stock (including the Series B Preferred Stock of Coeptis on an as converted basis) entitled to vote on the Proposals:</w:t>
      </w:r>
    </w:p>
    <w:p>
      <w:pPr>
        <w:spacing w:after="0" w:line="162" w:lineRule="exact"/>
        <w:rPr>
          <w:sz w:val="20"/>
          <w:szCs w:val="20"/>
          <w:color w:val="auto"/>
        </w:rPr>
      </w:pPr>
    </w:p>
    <w:p>
      <w:pPr>
        <w:ind w:left="1300" w:right="240" w:hanging="428"/>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consider and vote upon the Business Combination Proposal. A copy of the Merger Agreement is attached to this proxy statement as </w:t>
      </w:r>
      <w:r>
        <w:rPr>
          <w:rFonts w:ascii="Times New Roman" w:cs="Times New Roman" w:eastAsia="Times New Roman" w:hAnsi="Times New Roman"/>
          <w:sz w:val="18"/>
          <w:szCs w:val="18"/>
          <w:i w:val="1"/>
          <w:iCs w:val="1"/>
          <w:u w:val="single" w:color="auto"/>
          <w:color w:val="0000EE"/>
        </w:rPr>
        <w:t>Annex A</w:t>
      </w:r>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Adjournment Proposal, if it is presented at the Stockholders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Coeptis Board with Respect to the Proposals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Date; Outstanding Shares; Stockholders Entitled to Vote</w:t>
      </w:r>
    </w:p>
    <w:p>
      <w:pPr>
        <w:spacing w:after="0" w:line="22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Coeptis has fixed the close of business on September 16, 2022, as the Record Date for determining the Coeptis stockholders entitled to notice of and to attend and vote at the Stockholders Meeting. As of the close of business on such date, there were 51,207,163 shares of common stock of Coeptis (including the Series B Preferred Stock on an as converted basis) outstanding and entitled to vote. Each share is entitled to one vote per share at the Stockholders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and Required Vote</w:t>
      </w:r>
    </w:p>
    <w:p>
      <w:pPr>
        <w:spacing w:after="0" w:line="229"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A quorum of Coeptis stockholders is necessary to hold the Stockholders Meeting. The presence, in person virtually or by proxy, of Coeptis stockholders representing the holders of a majority of the common stock (including the Series B Stock on an as converted basis) issued and outstanding on the Record Date and entitled to vote on the Proposals to be considered at the Stockholders Meeting will constitute a quorum for the Stockholders Meeting.</w:t>
      </w:r>
    </w:p>
    <w:p>
      <w:pPr>
        <w:spacing w:after="0" w:line="17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Business Combination Proposal, must be approved in order for Coeptis to complete the Business Combination as contemplated by the Merger Agreement. All Proposals will require the affirmative vote of the holders of a majority of the majority of holders of common stock of Coeptis (including the Series B Stock on an as converted basis) issued and outstanding on the Record Date that are present and vote at the Stockholders Meeting. If the Business Combination Proposal fails to receive the required approval, the Business Combination will not be completed.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229" w:lineRule="exact"/>
        <w:rPr>
          <w:sz w:val="20"/>
          <w:szCs w:val="20"/>
          <w:color w:val="auto"/>
        </w:rPr>
      </w:pPr>
    </w:p>
    <w:p>
      <w:pPr>
        <w:jc w:val="both"/>
        <w:ind w:right="280" w:firstLine="432"/>
        <w:spacing w:after="0" w:line="266" w:lineRule="auto"/>
        <w:rPr>
          <w:sz w:val="20"/>
          <w:szCs w:val="20"/>
          <w:color w:val="auto"/>
        </w:rPr>
      </w:pPr>
      <w:r>
        <w:rPr>
          <w:rFonts w:ascii="Times New Roman" w:cs="Times New Roman" w:eastAsia="Times New Roman" w:hAnsi="Times New Roman"/>
          <w:sz w:val="18"/>
          <w:szCs w:val="18"/>
          <w:color w:val="auto"/>
        </w:rPr>
        <w:t>Each share of Coeptis common stock that you own in your name entitles you to one vote. If you are a record owner of shares of Coeptis common stock (including the Series B Stock on an as converted basis) you are entitled to one vote for each such share on all matters voted on by the stockholder, there are two ways to vote your shares of Coeptis common stock at the Stockholders Meeting:</w:t>
      </w:r>
    </w:p>
    <w:p>
      <w:pPr>
        <w:spacing w:after="0" w:line="174"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You Can Vote By Submitting Your Voting Instructions Over the Internet Prior to the Stockholders Meeting. </w:t>
      </w:r>
      <w:r>
        <w:rPr>
          <w:rFonts w:ascii="Times New Roman" w:cs="Times New Roman" w:eastAsia="Times New Roman" w:hAnsi="Times New Roman"/>
          <w:sz w:val="18"/>
          <w:szCs w:val="18"/>
          <w:color w:val="auto"/>
        </w:rPr>
        <w:t>You may transmit your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over the Internet before the meeting by accessing www.proxyvote.com. You will be able to use the Internet to vote up until 11:59 p.m. Eastern Time the day before the Stockholders Meeting date. It is recommended that you have your proxy card in hand when accessing www.proxyvote.com and you should follow the instructions included on the website to place your electronic voting instructions.</w:t>
      </w:r>
    </w:p>
    <w:p>
      <w:pPr>
        <w:spacing w:after="0" w:line="18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You Can Vote By Signing and Returning the Enclosed Proxy Card. </w:t>
      </w:r>
      <w:r>
        <w:rPr>
          <w:rFonts w:ascii="Times New Roman" w:cs="Times New Roman" w:eastAsia="Times New Roman" w:hAnsi="Times New Roman"/>
          <w:sz w:val="18"/>
          <w:szCs w:val="18"/>
          <w:color w:val="auto"/>
        </w:rPr>
        <w:t>If you vote by proxy card, your “proxy,” whose name is listed on the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vote your shares as you instruct on the proxy card. If you sign and return the proxy card but do not give instructions on how to vote your shares, your shares will be voted as recommended by the Coeptis Board “FOR” the Business Combination Proposal, and the Adjournment Proposal (if presented). Votes received after a matter has been voted upon at the Stockholders Meeting will not be counted.</w:t>
      </w:r>
    </w:p>
    <w:p>
      <w:pPr>
        <w:spacing w:after="0" w:line="180" w:lineRule="exact"/>
        <w:rPr>
          <w:sz w:val="20"/>
          <w:szCs w:val="20"/>
          <w:color w:val="auto"/>
        </w:rPr>
      </w:pPr>
    </w:p>
    <w:p>
      <w:pPr>
        <w:ind w:left="440"/>
        <w:spacing w:after="0"/>
        <w:tabs>
          <w:tab w:leader="none" w:pos="5060" w:val="left"/>
        </w:tabs>
        <w:rPr>
          <w:sz w:val="20"/>
          <w:szCs w:val="20"/>
          <w:color w:val="auto"/>
        </w:rPr>
      </w:pPr>
      <w:r>
        <w:rPr>
          <w:rFonts w:ascii="Times New Roman" w:cs="Times New Roman" w:eastAsia="Times New Roman" w:hAnsi="Times New Roman"/>
          <w:sz w:val="18"/>
          <w:szCs w:val="18"/>
          <w:i w:val="1"/>
          <w:iCs w:val="1"/>
          <w:color w:val="auto"/>
        </w:rPr>
        <w:t>You Can Attend the Stockholders Meeting and Vote in Person.</w:t>
      </w:r>
      <w:r>
        <w:rPr>
          <w:sz w:val="20"/>
          <w:szCs w:val="20"/>
          <w:color w:val="auto"/>
        </w:rPr>
        <w:tab/>
      </w:r>
      <w:r>
        <w:rPr>
          <w:rFonts w:ascii="Times New Roman" w:cs="Times New Roman" w:eastAsia="Times New Roman" w:hAnsi="Times New Roman"/>
          <w:sz w:val="17"/>
          <w:szCs w:val="17"/>
          <w:color w:val="auto"/>
        </w:rPr>
        <w:t>When you attend, you will receive a ballot that you may use to cast your vote.</w:t>
      </w:r>
    </w:p>
    <w:p>
      <w:pPr>
        <w:spacing w:after="0" w:line="227"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If your shares or warrants are held in “street name” or are in a margin or similar account, you should contact your broker to ensure that votes related to the shares you beneficially own are properly counted. If you wish to attend the Stockholders Meeting and vote in person virtually and your shares are held in “street name,” you must obtain a legal proxy from your broker, bank or nominee. That is the only way Coeptis can be sure that the broker, bank or nominee has not already voted your shares or warrants.</w:t>
      </w:r>
    </w:p>
    <w:p>
      <w:pPr>
        <w:spacing w:after="0" w:line="178"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You Can Vote By Submitting Your Voting Instructions Over the Phone Prior to the Stockholders Meeting. </w:t>
      </w:r>
      <w:r>
        <w:rPr>
          <w:rFonts w:ascii="Times New Roman" w:cs="Times New Roman" w:eastAsia="Times New Roman" w:hAnsi="Times New Roman"/>
          <w:sz w:val="18"/>
          <w:szCs w:val="18"/>
          <w:color w:val="auto"/>
        </w:rPr>
        <w:t>You may use any touch-tone telephone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 your voting instructions by dialing 1-800-690-6903 up until 11:59 p.m. Eastern Time the date before the Stockholders Meeting date. Have your proxy card in hand when you call and then follow the instructions provided over the phone.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and Voting by Coeptis’, Directors and Officers</w:t>
      </w:r>
    </w:p>
    <w:p>
      <w:pPr>
        <w:spacing w:after="0" w:line="229"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current directors and officers of Coeptis own an aggregate of 15,800,000 shares of common stock of Coeptis, and 8,000 shares of Series B Convertible Preferred Stock, and the officers and directors of Coeptis have agreed to vote those shares in favor of each of the Proposals at the Stockholders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Your Proxy; Changing Your Vote</w:t>
      </w:r>
    </w:p>
    <w:p>
      <w:pPr>
        <w:spacing w:after="0" w:line="229"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If you are a record owner of your shares and you give a proxy, you may change or revoke it at any time before it is exercised by doing any one of the following:</w:t>
      </w:r>
    </w:p>
    <w:p>
      <w:pPr>
        <w:spacing w:after="0" w:line="162" w:lineRule="exact"/>
        <w:rPr>
          <w:sz w:val="20"/>
          <w:szCs w:val="20"/>
          <w:color w:val="auto"/>
        </w:rPr>
      </w:pPr>
    </w:p>
    <w:p>
      <w:pPr>
        <w:ind w:left="880" w:hanging="440"/>
        <w:spacing w:after="0"/>
        <w:tabs>
          <w:tab w:leader="none" w:pos="8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another proxy card with a later date;</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Coeptis’ secretary in writing before the Stockholders Meeting that you have revoked your proxy; or</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Stockholders Meeting, revoke your proxy and vote in person virtually as described above.</w:t>
      </w:r>
    </w:p>
    <w:p>
      <w:pPr>
        <w:spacing w:after="0" w:line="225"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for information on how to change or revoke your voting instructions.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If the Business Combination is completed, Coeptis stockholders who do not vote in favor of the Business Combination are entitled to appraisal rights under Section 262 of the DGCL (“</w:t>
      </w:r>
      <w:r>
        <w:rPr>
          <w:rFonts w:ascii="Times New Roman" w:cs="Times New Roman" w:eastAsia="Times New Roman" w:hAnsi="Times New Roman"/>
          <w:sz w:val="18"/>
          <w:szCs w:val="18"/>
          <w:b w:val="1"/>
          <w:bCs w:val="1"/>
          <w:color w:val="auto"/>
        </w:rPr>
        <w:t>Section 262</w:t>
      </w:r>
      <w:r>
        <w:rPr>
          <w:rFonts w:ascii="Times New Roman" w:cs="Times New Roman" w:eastAsia="Times New Roman" w:hAnsi="Times New Roman"/>
          <w:sz w:val="18"/>
          <w:szCs w:val="18"/>
          <w:color w:val="auto"/>
        </w:rPr>
        <w:t>”) provided that they comply with the conditions established by Section 262.</w:t>
      </w:r>
    </w:p>
    <w:p>
      <w:pPr>
        <w:spacing w:after="0" w:line="162" w:lineRule="exact"/>
        <w:rPr>
          <w:sz w:val="20"/>
          <w:szCs w:val="20"/>
          <w:color w:val="auto"/>
        </w:rPr>
      </w:pPr>
    </w:p>
    <w:p>
      <w:pPr>
        <w:jc w:val="center"/>
        <w:ind w:right="160"/>
        <w:spacing w:after="0" w:line="282" w:lineRule="auto"/>
        <w:rPr>
          <w:sz w:val="20"/>
          <w:szCs w:val="20"/>
          <w:color w:val="auto"/>
        </w:rPr>
      </w:pPr>
      <w:r>
        <w:rPr>
          <w:rFonts w:ascii="Times New Roman" w:cs="Times New Roman" w:eastAsia="Times New Roman" w:hAnsi="Times New Roman"/>
          <w:sz w:val="18"/>
          <w:szCs w:val="18"/>
          <w:color w:val="auto"/>
        </w:rPr>
        <w:t>This statement constitutes the formal notice to the Coeptis stockholders of the availability of appraisal rights in connection with the Business Combination. Bull Horn’s shareholders do not have appraisal rights under the Companies Act or otherwise in connection with the Business Combination.</w:t>
      </w:r>
    </w:p>
    <w:p>
      <w:pPr>
        <w:spacing w:after="0" w:line="162"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following is intended as a brief summary of the material provisions of the statutory procedures required to be followed properly and in a timely manner by a Coeptis stockholder in order to exercise and perfect appraisal rights. This summary, however, is not a complete statement of all applicable requirements and is qualified in its entirety by reference to Section 262, the full text of which is attached hereto as </w:t>
      </w:r>
      <w:r>
        <w:rPr>
          <w:rFonts w:ascii="Times New Roman" w:cs="Times New Roman" w:eastAsia="Times New Roman" w:hAnsi="Times New Roman"/>
          <w:sz w:val="18"/>
          <w:szCs w:val="18"/>
          <w:i w:val="1"/>
          <w:iCs w:val="1"/>
          <w:u w:val="single" w:color="auto"/>
          <w:color w:val="0000EE"/>
        </w:rPr>
        <w:t>Annex E</w:t>
      </w:r>
      <w:r>
        <w:rPr>
          <w:rFonts w:ascii="Times New Roman" w:cs="Times New Roman" w:eastAsia="Times New Roman" w:hAnsi="Times New Roman"/>
          <w:sz w:val="18"/>
          <w:szCs w:val="18"/>
          <w:color w:val="auto"/>
        </w:rPr>
        <w:t>. All references in Section 262 and in this summary to a “stockholder” or “holders of shares” are to the record holder of shares of Coeptis capital stock immediately prior to the effective time of the Business Combination as to which appraisal rights are asserted, unless otherwise indicated.</w:t>
      </w:r>
    </w:p>
    <w:p>
      <w:pPr>
        <w:spacing w:after="0" w:line="183" w:lineRule="exact"/>
        <w:rPr>
          <w:sz w:val="20"/>
          <w:szCs w:val="20"/>
          <w:color w:val="auto"/>
        </w:rPr>
      </w:pPr>
    </w:p>
    <w:p>
      <w:pPr>
        <w:ind w:right="100" w:firstLine="432"/>
        <w:spacing w:after="0" w:line="253" w:lineRule="auto"/>
        <w:rPr>
          <w:sz w:val="20"/>
          <w:szCs w:val="20"/>
          <w:color w:val="auto"/>
        </w:rPr>
      </w:pPr>
      <w:r>
        <w:rPr>
          <w:rFonts w:ascii="Times New Roman" w:cs="Times New Roman" w:eastAsia="Times New Roman" w:hAnsi="Times New Roman"/>
          <w:sz w:val="18"/>
          <w:szCs w:val="18"/>
          <w:color w:val="auto"/>
        </w:rPr>
        <w:t>Under Section 262, where a merger agreement relating to a proposed merger is to be submitted for approval at a meeting of stockholders, as is the case here, Coeptis, not less than 20 days prior to the meeting, shall notify each of its stockholders who was such on the record date for such meeting with respect to shares for which appraisal rights are available pursuant under Section 262, that appraisal rights are available for any or all of the Coeptis shares, and shall include in such notice a copy of Section 262. Each stockholder electing to demand the appraisal of such stockholder’s shares shall deliver to Coeptis, before the taking of the vote on the merger or consolidation, a written demand for appraisal of such stockholder’s shares. Such demand will be sufficient if it reasonably informs Coeptis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Coeptis stockholder who has complied with this subsection and has not voted in favor of or consented to the merger or consolidation of the date that the merger or consolidation has become effective.</w:t>
      </w:r>
    </w:p>
    <w:p>
      <w:pPr>
        <w:spacing w:after="0" w:line="194"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Pursuant to Section 262, Coeptis stockholders who (a) are holders of record of shares of capital stock of Coeptis on the date of making a demand for appraisal of their shares, (b) continuously hold the shares through the effective time of the Business Combination, (c) do not vote in favor of the Business Combination nor consent thereto in writing, (d) comply with the other requirements of Section 262 and (e) have not waived their appraisal rights, will be entitled to have their shares of Coeptis capital stock appraised by the Delaware Court of Chancery and to receive payment of the “fair value” of such shares, exclusive of any element of value arising from the accomplishment or expectation of the Business Combination, together with interest, if any, as determined by the court.</w:t>
      </w:r>
    </w:p>
    <w:p>
      <w:pPr>
        <w:spacing w:after="0" w:line="18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All written demands for appraisal should be addressed to Coeptis at 105 Bradford Road, Suite 420, Wexford, PA 15090. Failure to vote in favor of the Business Combination will not in and of itself constitute a written demand for appraisal satisfying the requirements of Section 262.</w:t>
      </w:r>
    </w:p>
    <w:p>
      <w:pPr>
        <w:spacing w:after="0" w:line="16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If a Coeptis stockholder fails to deliver a written demand for appraisal within the time period specified above, such stockholder will be entitled to receive the Merger Consideration for his, her or its shares of Coeptis capital stock as provided for in the Merger Agreement, but such stockholder will have no appraisal rights with respect to his, her or its shares of Coeptis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64" w:name="page65"/>
    <w:bookmarkEnd w:id="64"/>
    <w:p>
      <w:pPr>
        <w:jc w:val="both"/>
        <w:ind w:right="140" w:firstLine="432"/>
        <w:spacing w:after="0" w:line="272" w:lineRule="auto"/>
        <w:rPr>
          <w:sz w:val="20"/>
          <w:szCs w:val="20"/>
          <w:color w:val="auto"/>
        </w:rPr>
      </w:pPr>
      <w:r>
        <w:rPr>
          <w:rFonts w:ascii="Times New Roman" w:cs="Times New Roman" w:eastAsia="Times New Roman" w:hAnsi="Times New Roman"/>
          <w:sz w:val="17"/>
          <w:szCs w:val="17"/>
          <w:color w:val="auto"/>
        </w:rPr>
        <w:t>To be effective, a demand for appraisal by a Coeptis stockholder must be made by, or in the name of, such Coeptis stockholder and must reasonably inform the Company of the identity of the stockholder of record and that such stockholder intends thereby to demand appraisal of his, her or its shares. A demand for appraisal should be executed by or on behalf of the holder of record, fully and correctly, as such holder’s name appears in Coeptis’ records.</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Beneficial owners who do not also hold the shares of Coeptis capital stock of record may not directly make appraisal demands to the Company. The beneficial holder must, in such cases, have the registered owner, such as a brokerage firm, bank, trust or other nominee, submit the required demand in respect of those shares. If shares of Coeptis capital stock are owned of record in a fiduciary capacity, such as by a trustee, guardian or custodian, execution of a demand for appraisal should be made by or for the fiduciary, and if the shares of Coeptis capital stock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provided that the agent must identify the record owner or owners, and expressly disclose the fact that, in executing the demand, he or she is acting as agent for the record owner.</w:t>
      </w:r>
    </w:p>
    <w:p>
      <w:pPr>
        <w:spacing w:after="0" w:line="18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A record owner, such as a broker, who holds shares of Coeptis capital stock as a nominee for others, may exercise his or her right of appraisal with respect to the shares of Coeptis capital stock held for one or more beneficial owners, while not exercising this right for other beneficial owners. In that case, the written demand should state the number of shares of Coeptis capital stock as to which appraisal is sought. Where no number of shares is expressly stated, the demand will be presumed to cover all shares held in the name of the record owner.</w:t>
      </w:r>
    </w:p>
    <w:p>
      <w:pPr>
        <w:spacing w:after="0" w:line="180"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Within 120 days after the effective time of the Business Combination, any Coeptis stockholder who has complied with the requirements for exercising appraisal rights will, upon written request to the Company, be entitled to receive a written statement setting forth the aggregate number of shares not voted in favor of the adoption of the Merger Agreement and with respect to which demands for appraisal have been received, and the aggregate number of holders of such shares. A person who is the beneficial owner of shares of Coeptis capital stock held in a voting trust or by a nominee on behalf of such person may, in such person’s own name, request from the Company the statement described in the previous sentence. Such written statement will be mailed to the requesting Coeptis stockholder within 10 days after such written request is received by the Company or within 10 days after expiration of the period for delivery of demands for appraisal, whichever is later.</w:t>
      </w:r>
    </w:p>
    <w:p>
      <w:pPr>
        <w:spacing w:after="0" w:line="189"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time of the Business Combination, but not thereafter, either the Company or any Coeptis stockholder who has complied with the requirements of Section 262, and who is otherwise entitled to appraisal rights, may commence an appraisal proceeding by filing a petition in the Delaware Court of Chancery demanding a determination of the fair value of the shares of Coeptis capital stock held by all such stockholders. A person who is the beneficial owner of shares of Coeptis capital stock held in a voting trust or by a nominee on behalf of such person may, in such person’s own name, file the petition described in the previous sentence. Upon the filing of the petition by a Coeptis stockholder, service of a copy of such petition must be made upon the Company, as the surviving corporation. If no such petition is filed, appraisal rights will be lost for all stockholders who had previously demanded appraisal of their shares. The Company has no obligation to file such a petition if a Coeptis stockholder demands appraisal. Accordingly, the failure of a Coeptis stockholder to file such a petition within the period specified could nullify the Coeptis stockholder’s previously written demand for appraisal. There is no present intent on the part of Coeptis to file an appraisal petition, and Coeptis stockholders seeking to exercise appraisal rights should not assume that Coeptis will file such a petition or that Coeptis will initiate any negotiations with respect to the fair value of such shares. Accordingly, Coeptis stockholders who desire to have their shares appraised should initiate any petitions necessary for the perfection of their appraisal rights within the time periods and in the manner prescribed in Section 262.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5" w:name="page66"/>
    <w:bookmarkEnd w:id="65"/>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If a petition for appraisal is timely filed by a Coeptis stockholder and a copy of the petition is delivered to the Company, the Company will then be obligated, within 20 days after receiving service of a copy of the petition, to file with the Delaware Register in Chancery a duly verified list containing the names and addresses of all Coeptis stockholders who have demanded an appraisal of their shares, and with whom agreements as to the value of their shares have not been reached by the Company. After notice is made to such Coeptis stockholders as required by the Delaware Court of Chancery, the Delaware Court of Chancery is empowered to conduct a hearing upon the petition to determine those Coeptis stockholders who have complied with Section 262 and who have become entitled to the appraisal rights thereunder. Under Delaware law, the Delaware Court of Chancery may require stockholders who have demanded appraisal of their shares and who hold stock represented by certificates to submit their stock certificates to the Delaware Register in Chancery for notation thereon of the pendency of the appraisal proceedings, and if any such stockholder who holds stock represented by certificates fails to comply with that direction, the Delaware Court of Chancery may dismiss the proceedings as to that stockholder. Upon application by the Company or by any Coeptis stockholder entitled to participate in the appraisal proceeding, the Delaware Court of Chancery may, in its discretion, proceed to trial upon the appraisal prior to the final determination of the Coeptis stockholders entitled to an appraisal. Any stockholder whose name appears on the verified list filed by the Company and who has submitted such stockholder’s certificates of stock to the Register in Chancery, if required, may participate fully in all proceedings until it is finally determined that such stockholder is not entitled to appraisal rights under Section 262. After the Delaware Court of Chancery determines which Coeptis stockholders are entitled to appraisal of their shares of Coeptis capital stock, the appraisal proceeding will be conducted in accordance with the rules of the Delaware Court of Chancery, including any rules specifically governing appraisal proceedings. Through such proceeding, the Delaware Court of Chancery will appraise the shares of Coeptis capital stock, determining the fair value of the shares exclusive of any element of value arising from the accomplishment or expectation of the Business Combination, together with interest, if any, to be paid upon the amount determined to be the fair value. Stockholders considering seeking appraisal should be aware that the fair value of their shares of Coeptis capital stock as determined under Section 262 of the DGCL could be more than, the same as or less than the consideration such stockholders would receive pursuant to the Merger Agreement if they did not seek appraisal of their shares of Coeptis capital stock.</w:t>
      </w:r>
    </w:p>
    <w:p>
      <w:pPr>
        <w:spacing w:after="0" w:line="18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In Weinberger v. UOP, Inc., the Delaware Supreme Court stated that “proof of value by any techniques or methods which are generally considered acceptable in the financial community and otherwise admissible in court” should be considered in appraisal proceedings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which could be ascertained as of the date of the merger which throw any light on future prospects of the merged corporation. Section 262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also stated that “elements of future value, including the nature of the enterprise, which are known or susceptible of proof as of the date of the merger and not the product of speculation, may be considered.”</w:t>
      </w:r>
    </w:p>
    <w:p>
      <w:pPr>
        <w:spacing w:after="0" w:line="19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Unless the Delaware Court of Chancery in its discretion determines otherwise for good cause shown, interest from the effective date of the Business Combination through the date of payment of the judgment shall be compounded quarterly and shall accrue at 5% over the Federal Reserve discount rate (including any surcharge) as established from time to time during such period between the effective date of the Business Combination and the date of payment of the judgment; provided, however that at any time before the entry of judgment in the proceedings, the Company may pay to each Coeptis stockholder entitled to appraisal an amount in cash, in which case interest will accrue thereafter only upon the sum of (1) the difference, if any, between the amount so paid and the fair value of the shares as determined by the Delaware Court of Chancery, and (2) interest theretofore accrued, unless paid at that time. The Company is under no obligation to make such voluntary cash payment prior to such entry of judgment.</w:t>
      </w:r>
    </w:p>
    <w:p>
      <w:pPr>
        <w:spacing w:after="0" w:line="18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Costs of the appraisal proceeding (which do not include attorneys’ fees or the fees and expenses of experts) may be imposed upon the Company and Coeptis stockholders participating in the appraisal proceeding by the Delaware Court of Chancery as the Court deems equitable in the circumstances. Upon the application of a Coeptis stockholder, the Delaware Court of Chancery may order all or a portion of the expenses incurred by any Coeptis stockholder in connection with the appraisal proceeding, including, without limitation, reasonable attorneys’ fees and the fees and expenses of experts, to be charged pro rata against the value of all shares entitled to appraisal.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6" w:name="page67"/>
    <w:bookmarkEnd w:id="66"/>
    <w:p>
      <w:pPr>
        <w:ind w:firstLine="432"/>
        <w:spacing w:after="0" w:line="256" w:lineRule="auto"/>
        <w:rPr>
          <w:sz w:val="20"/>
          <w:szCs w:val="20"/>
          <w:color w:val="auto"/>
        </w:rPr>
      </w:pPr>
      <w:r>
        <w:rPr>
          <w:rFonts w:ascii="Times New Roman" w:cs="Times New Roman" w:eastAsia="Times New Roman" w:hAnsi="Times New Roman"/>
          <w:sz w:val="18"/>
          <w:szCs w:val="18"/>
          <w:color w:val="auto"/>
        </w:rPr>
        <w:t>Any Coeptis stockholder who had demanded appraisal rights will not, after the effective time of the Business Combination, be entitled to vote shares subject to that demand for any purpose, or to receive payments of dividends or any other distribution with respect to those shares, other than with respect to payment as of a record date prior to the effective time of the Business Combination. If any stockholder who demands appraisal of shares of Coeptis capital stock under Section 262 fails to perfect, effectively withdraws or otherwise loses such holder’s right to appraisal with respect to such shares, such shares will be deemed to have been converted at the effective time of the Business Combination into the right to receive the consideration provided pursuant to the Merger Agreement, without interest, upon the terms and conditions set forth therein.</w:t>
      </w:r>
    </w:p>
    <w:p>
      <w:pPr>
        <w:spacing w:after="0" w:line="187"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If no petition for appraisal is filed within 120 days after the effective time of the Business Combination, or if a Coeptis stockholder votes in favor of the adoption of the Merger Agreement or effectively withdraws his, her or its demand for appraisal, then the right of that Coeptis stockholder to appraisal will cease and that Coeptis stockholder will be entitled to receive the consideration for shares of his, her or its shares of Coeptis capital stock pursuant to the Merger Agreement. A holder, who has not commenced and appraisal proceeding or joined that proceeding as a named party, may withdraw his or her demand for appraisal by delivering to the Company a written withdrawal of his or her demand for appraisal and acceptance of the Business Combination, except that any such attempt to withdraw made more than 60 days after the effective date of the Business Combination will require the written approval of the Company. No appraisal proceeding in the Delaware Court of Chancery will be dismissed as to any stockholder without the approval of the Delaware Court of Chancery, and such approval may be conditioned upon such terms as the Delaware Court of Chancery deems just, provided, however, any stockholder who has not commenced an appraisal proceeding or joined that proceeding as a named party will have the right to withdraw such stockholder’s demand for appraisal and to accept the terms offered upon the Business Combination within 60 days after the effective date of the Business Combination.</w:t>
      </w:r>
    </w:p>
    <w:p>
      <w:pPr>
        <w:spacing w:after="0" w:line="194"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 xml:space="preserve">The preceding discussion is not a complete statement of the law pertaining to appraisal rights under Section 262 and is qualified in its entirety by reference to Section 262 of the DGCL, the full text of which is attached hereto as </w:t>
      </w:r>
      <w:r>
        <w:rPr>
          <w:rFonts w:ascii="Times New Roman" w:cs="Times New Roman" w:eastAsia="Times New Roman" w:hAnsi="Times New Roman"/>
          <w:sz w:val="18"/>
          <w:szCs w:val="18"/>
          <w:i w:val="1"/>
          <w:iCs w:val="1"/>
          <w:u w:val="single" w:color="auto"/>
          <w:color w:val="0000EE"/>
        </w:rPr>
        <w:t>Annex 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ALL COEPTIS STOCKHOLDERS THAT DO NOT WISH TO VOTE IN FAVOR OF THE ADOPTION OF THE MERGER AGREEMENT AND THE APPROVAL OF THE BUSINESS COMBINATION, AND WISH TO EXERCISE APPRAISAL RIGHTS PURSUANT TO THE DGCL OR THAT WISH TO PRESERVE THEIR RIGHT TO DO SO SHOULD CAREFULLY REVIEW ANNEX E, SINCE FAILURE TO COMPLY WITH THE PROCEDURES SET FORTH THEREIN WILL RESULT IN THE LOSS OF SUCH RIGHTS.</w:t>
      </w:r>
    </w:p>
    <w:p>
      <w:pPr>
        <w:spacing w:after="0" w:line="180" w:lineRule="exact"/>
        <w:rPr>
          <w:sz w:val="20"/>
          <w:szCs w:val="20"/>
          <w:color w:val="auto"/>
        </w:rPr>
      </w:pPr>
    </w:p>
    <w:p>
      <w:pPr>
        <w:ind w:right="180" w:firstLine="432"/>
        <w:spacing w:after="0" w:line="277" w:lineRule="auto"/>
        <w:rPr>
          <w:sz w:val="20"/>
          <w:szCs w:val="20"/>
          <w:color w:val="auto"/>
        </w:rPr>
      </w:pPr>
      <w:r>
        <w:rPr>
          <w:rFonts w:ascii="Times New Roman" w:cs="Times New Roman" w:eastAsia="Times New Roman" w:hAnsi="Times New Roman"/>
          <w:sz w:val="17"/>
          <w:szCs w:val="17"/>
          <w:color w:val="auto"/>
        </w:rPr>
        <w:t>COEPTIS STOCKHOLDERS CONSIDERING SEEKING APPRAISAL SHOULD BE AWARE THAT THE FAIR VALUE OF THEIR SHARES AS DETERMINED UNDER SECTION 262 COULD BE MORE THAN, THE SAME AS OR LESS THAN THE MERGER CONSIDERATION THEY WOULD RECEIVE PURSUANT TO THE MERGER AGREEMENT IF THEY DID NOT SEEK APPRAISAL OF THEIR SHARES. COEPTIS STOCKHOLDERS WHO PERFECT THEIR APPRAISAL RIGHTS AND WHO DO NOT SUBSEQUENTLY EFFECTIVELY WITHDRAW OR OTHERWISE LOSE THEIR APPRAISAL RIGHTS WILL BE ENTITLED TO NO CONSIDERATION UNDER THE MERGER AGREEMENT.</w:t>
      </w:r>
    </w:p>
    <w:p>
      <w:pPr>
        <w:spacing w:after="0" w:line="16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FAILURE TO COMPLY STRICTLY WITH ALL OF THE PROCEDURES SET FORTH IN SECTION 262 WILL RESULT IN THE LOSS OF A COEPTIS STOCKHOLDER’S STATUTORY APPRAISAL RIGHTS THEREUNDER. CONSEQUENTLY, ANY COEPTIS STOCKHOLDER WISHING TO EXERCISE APPRAISAL RIGHTS IS URGED TO CONSULT LEGAL COUNSEL.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229"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Coeptis is soliciting proxies on behalf of the Coeptis Board. This solicitation is being made by mail but also may be made by telephone or in person virtually. Coeptis and its directors, officers and employees may also solicit proxies in person virtually, by telephone or by other electronic means. Coeptis will bear all of the costs of the solicitation, plus the cost of printing and mailing the proxy statement and related materials (which is being handled by Broadridge Financial Solutions, Inc.) which Coeptis estimates will be approximately $20,000 in the aggregate.</w:t>
      </w:r>
    </w:p>
    <w:p>
      <w:pPr>
        <w:spacing w:after="0" w:line="180"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Coeptis will ask banks, brokers and other institutions, nominees and fiduciaries to forward the proxy materials to their principals and to obtain their authority to execute proxies and voting instructions. Coeptis will reimburse them for their reasonable expenses.</w:t>
      </w:r>
    </w:p>
    <w:p>
      <w:pPr>
        <w:spacing w:after="0" w:line="162" w:lineRule="exact"/>
        <w:rPr>
          <w:sz w:val="20"/>
          <w:szCs w:val="20"/>
          <w:color w:val="auto"/>
        </w:rPr>
      </w:pPr>
    </w:p>
    <w:p>
      <w:pPr>
        <w:ind w:right="240" w:firstLine="432"/>
        <w:spacing w:after="0" w:line="312" w:lineRule="auto"/>
        <w:rPr>
          <w:sz w:val="20"/>
          <w:szCs w:val="20"/>
          <w:color w:val="auto"/>
        </w:rPr>
      </w:pPr>
      <w:r>
        <w:rPr>
          <w:rFonts w:ascii="Times New Roman" w:cs="Times New Roman" w:eastAsia="Times New Roman" w:hAnsi="Times New Roman"/>
          <w:sz w:val="17"/>
          <w:szCs w:val="17"/>
          <w:color w:val="auto"/>
        </w:rPr>
        <w:t>If a stockholder grants a proxy, it may still vote its shares in person virtually if it revokes its proxy before the Stockholders Meeting. A stockholder may also change its vote by submitting a later-dated proxy as described in the section entitled “</w:t>
      </w:r>
      <w:r>
        <w:rPr>
          <w:rFonts w:ascii="Times New Roman" w:cs="Times New Roman" w:eastAsia="Times New Roman" w:hAnsi="Times New Roman"/>
          <w:sz w:val="17"/>
          <w:szCs w:val="17"/>
          <w:i w:val="1"/>
          <w:iCs w:val="1"/>
          <w:color w:val="auto"/>
        </w:rPr>
        <w:t>— Revoking Your Proxy; Changing Your Vote</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SEC has adopted a rule concerning the delivery of annual reports and proxy statements. It permits Coeptis with your permission, to send a single notice of meeting and, to the extent requested, a single copy of this proxy statement to any household at which two or more Coeptis stockholders reside if they appear to be members of the same family. This rule is called “householding,” and its purpose is to help reduce printing and mailing costs of proxy materials.</w:t>
      </w:r>
    </w:p>
    <w:p>
      <w:pPr>
        <w:spacing w:after="0" w:line="18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A number of brokerage firms have instituted householding for shares held in “street name.” If you and members of your household have multiple accounts holding shares of common stock of Coeptis, you may have received a householding notification from your broker. Please contact your broker directly if you have questions, require additional copies of this proxy statement or wish to revoke your decision to household. These options are available to you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If you are a holder of Coeptis common stock (including holders of Series B Convertible Preferred Stock) and have any questions about how to vote or direct a vote in respect of your securities, you may call Daniel Yerace from Coeptis at (724) 934-6467.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THE BUSINESS COMBINATION PROPOSAL</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 xml:space="preserve">Coeptis is asking its stockholders to approve the Merger Agreement and the transactions contemplated thereby, including the Business Combination. Stockholder should carefully read this proxy statement in its entirety for more detailed information concerning the Merger Agreement, which is attached as </w:t>
      </w:r>
      <w:r>
        <w:rPr>
          <w:rFonts w:ascii="Times New Roman" w:cs="Times New Roman" w:eastAsia="Times New Roman" w:hAnsi="Times New Roman"/>
          <w:sz w:val="18"/>
          <w:szCs w:val="18"/>
          <w:i w:val="1"/>
          <w:iCs w:val="1"/>
          <w:u w:val="single" w:color="auto"/>
          <w:color w:val="0000EE"/>
        </w:rPr>
        <w:t>Annex A</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to this proxy statement and is incorporated into this proxy statement by reference. Please see the subsection entitled “</w:t>
      </w:r>
      <w:r>
        <w:rPr>
          <w:rFonts w:ascii="Times New Roman" w:cs="Times New Roman" w:eastAsia="Times New Roman" w:hAnsi="Times New Roman"/>
          <w:sz w:val="18"/>
          <w:szCs w:val="18"/>
          <w:i w:val="1"/>
          <w:iCs w:val="1"/>
          <w:color w:val="000000"/>
        </w:rPr>
        <w:t>The Merger Agreement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below, for additional information and a summary of certain terms of the Merger Agreement. You are urged to read the Merger Agreement in its entirety before voting on this proposal.</w:t>
      </w:r>
    </w:p>
    <w:p>
      <w:pPr>
        <w:spacing w:after="0" w:line="183"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We may complete the Business Combination only if it is approved by the holders of a majority of Coeptis common stock (including the Series B Stock on an as converted basis) entitled to vote on the Proposals to be considered at the Stockholders Meeting. If the Business Combination Proposal fails to receive the required Coeptis stockholder approval, the Business Combination will not be completed.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This section describes the material provisions of the Merger Agreement but does not purport to describe all of the terms of the Merger Agreement. The following summary is qualified in its entirety by reference to the complete text of the Merger Agreement and the related agreements. Coeptis’ stockholders and other interested parties are urged to read such agreement in its entirety because it is the primary legal document that governs the Business Combination. Unless otherwise defined herein, the capitalized terms used in this section “Proposal 1: The Business Combination Proposal — The Merger Agreement” are defined in the Merger Agreement.</w:t>
      </w:r>
    </w:p>
    <w:p>
      <w:pPr>
        <w:spacing w:after="0" w:line="183"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The Merger Agreement contains representations, warranties and covenants that the respective parties made to each other as of the date of the Merger Agreement or other specific dates, including, in some cases, as of the Closing of the Business Combination.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disclosure schedules attached thereto which are not filed publicly and which are subject to a contractual standard of materiality different from that generally applicable to shareholders. The disclosure schedules were used for the purpose of allocating risk among the parties rather than establishing matters as facts. We do not believe that the disclosure schedules contain information that is material to an investment decision.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Description of the Merger Agreement and Post-Closing Organizational Structure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18, 2022, Coeptis entered into the Merger Agreement with Merger Sub and Bull Horn.</w:t>
      </w:r>
    </w:p>
    <w:p>
      <w:pPr>
        <w:spacing w:after="0" w:line="22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subject to the terms and conditions set forth therein, (i) prior to the Closing (as defined below), Bull Horn will re-domicile from the British Virgin Islands to the State of Delaware through a statutory re-domestication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and (ii) upon the consummation of the transactions contemplated by the Merger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Merger Sub will merge with and into Coeptis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together with the Domestication and the other transactions contemplated by the Merger Agreement,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with Coeptis continuing as the surviving corporation in the Merger and a wholly-owned subsidiary of Bull Horn (after the Domestication).</w:t>
      </w:r>
    </w:p>
    <w:p>
      <w:pPr>
        <w:spacing w:after="0" w:line="183"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Prior to the Merger, all outstanding holders of shares of Coeptis preferred stock will convert or exchange their shares of preferred stock for shares of Coeptis common stock at the applicable ratio in Coeptis organizational documents (the “</w:t>
      </w:r>
      <w:r>
        <w:rPr>
          <w:rFonts w:ascii="Times New Roman" w:cs="Times New Roman" w:eastAsia="Times New Roman" w:hAnsi="Times New Roman"/>
          <w:sz w:val="18"/>
          <w:szCs w:val="18"/>
          <w:b w:val="1"/>
          <w:bCs w:val="1"/>
          <w:color w:val="auto"/>
        </w:rPr>
        <w:t>Preferred Stock Exchange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32"/>
        <w:spacing w:after="0" w:line="269" w:lineRule="auto"/>
        <w:rPr>
          <w:sz w:val="20"/>
          <w:szCs w:val="20"/>
          <w:color w:val="auto"/>
        </w:rPr>
      </w:pPr>
      <w:r>
        <w:rPr>
          <w:rFonts w:ascii="Times New Roman" w:cs="Times New Roman" w:eastAsia="Times New Roman" w:hAnsi="Times New Roman"/>
          <w:sz w:val="17"/>
          <w:szCs w:val="17"/>
          <w:color w:val="auto"/>
        </w:rPr>
        <w:t>In the Merger, (i) all shares of Coeptis common stock issued and outstanding immediately prior to the effective time of the Merger (other than those properly exercising any applicable dissenter’s rights under Delaware law), but after giving effect to the Preferred Stock Exchange, will be converted into the right to receive a portion of the Merger Consideration (as defined below), (ii) certain issued and outstanding warrants to acquire shares of Coeptis stock (the “</w:t>
      </w:r>
      <w:r>
        <w:rPr>
          <w:rFonts w:ascii="Times New Roman" w:cs="Times New Roman" w:eastAsia="Times New Roman" w:hAnsi="Times New Roman"/>
          <w:sz w:val="17"/>
          <w:szCs w:val="17"/>
          <w:b w:val="1"/>
          <w:bCs w:val="1"/>
          <w:color w:val="auto"/>
        </w:rPr>
        <w:t>Specified Warrants</w:t>
      </w:r>
      <w:r>
        <w:rPr>
          <w:rFonts w:ascii="Times New Roman" w:cs="Times New Roman" w:eastAsia="Times New Roman" w:hAnsi="Times New Roman"/>
          <w:sz w:val="17"/>
          <w:szCs w:val="17"/>
          <w:color w:val="auto"/>
        </w:rPr>
        <w:t>”) will be assumed by Bull Horn and converted into warrants for shares of Bull Horn common stock with the price and number of shares equitably adjusted based on the conversion of the shares of Coeptis common stock into the Merger Consideration (each, an “</w:t>
      </w:r>
      <w:r>
        <w:rPr>
          <w:rFonts w:ascii="Times New Roman" w:cs="Times New Roman" w:eastAsia="Times New Roman" w:hAnsi="Times New Roman"/>
          <w:sz w:val="17"/>
          <w:szCs w:val="17"/>
          <w:b w:val="1"/>
          <w:bCs w:val="1"/>
          <w:color w:val="auto"/>
        </w:rPr>
        <w:t>Assumed Warrant</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ind w:right="80" w:firstLine="8"/>
        <w:spacing w:after="0" w:line="255" w:lineRule="auto"/>
        <w:tabs>
          <w:tab w:leader="none" w:pos="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outstanding convertible debt of Coeptis (the “</w:t>
      </w:r>
      <w:r>
        <w:rPr>
          <w:rFonts w:ascii="Times New Roman" w:cs="Times New Roman" w:eastAsia="Times New Roman" w:hAnsi="Times New Roman"/>
          <w:sz w:val="18"/>
          <w:szCs w:val="18"/>
          <w:b w:val="1"/>
          <w:bCs w:val="1"/>
          <w:color w:val="auto"/>
        </w:rPr>
        <w:t>Coeptis Convertible Debt</w:t>
      </w:r>
      <w:r>
        <w:rPr>
          <w:rFonts w:ascii="Times New Roman" w:cs="Times New Roman" w:eastAsia="Times New Roman" w:hAnsi="Times New Roman"/>
          <w:sz w:val="18"/>
          <w:szCs w:val="18"/>
          <w:color w:val="auto"/>
        </w:rPr>
        <w:t>”) will be assumed by Bull Horn and will be convertible into common stock of Bull Horn (the “</w:t>
      </w:r>
      <w:r>
        <w:rPr>
          <w:rFonts w:ascii="Times New Roman" w:cs="Times New Roman" w:eastAsia="Times New Roman" w:hAnsi="Times New Roman"/>
          <w:sz w:val="18"/>
          <w:szCs w:val="18"/>
          <w:b w:val="1"/>
          <w:bCs w:val="1"/>
          <w:color w:val="auto"/>
        </w:rPr>
        <w:t>Assumed Convertible Debt</w:t>
      </w:r>
      <w:r>
        <w:rPr>
          <w:rFonts w:ascii="Times New Roman" w:cs="Times New Roman" w:eastAsia="Times New Roman" w:hAnsi="Times New Roman"/>
          <w:sz w:val="18"/>
          <w:szCs w:val="18"/>
          <w:color w:val="auto"/>
        </w:rPr>
        <w:t>”) and (iv) any other outstanding securities with the right to convert into or acquire equity securities of Coeptis or its subsidiaries will be terminated. At the Closing, Bull Horn will change its name to “Coeptis Therapeutics Holdings, Inc.”</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Organizational Structure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diagrams below depict simplified versions of the current organizational structures of Bull Horn and Coeptis,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161925</wp:posOffset>
            </wp:positionV>
            <wp:extent cx="5143500" cy="4363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4363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Structure Following the Business Combination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diagram below depicts a simplified version of our organizational structure immediately following the completion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161925</wp:posOffset>
            </wp:positionV>
            <wp:extent cx="5143500" cy="46291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92"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Consideration</w:t>
      </w:r>
    </w:p>
    <w:p>
      <w:pPr>
        <w:spacing w:after="0" w:line="225"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The Merger consideration received by Coeptis security holders from Bull Horn at the Closing will have an aggregate value equal to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 (i) $175,000,000, minus (or plus if positive) (ii) the amount of Coeptis’ outstanding indebtedness as of immediately prior to the Closing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(excluding Permitted Debt, as described below), net of its cash as of immediately prior to the Closing, minus (iii) the amount of Coeptis’ outstanding unpaid transaction expenses and transaction bonuses as of the Closing. The Merger Consideration will be payable, (a) in the case of Coeptis stockholders, solely in new shares of Bull Horn common stock, with each share of Bull Horn common stock valued at the price per share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at which each Bull Horn share of common stock is redeemed or converted pursuant to the redemption by Bull Horn of its public shareholders in connection with Bull Horn’s initial business combination, as required by its amended and restated memorandum and articles of association and Bull Horn’s initial public offering prospectus (the “</w:t>
      </w:r>
      <w:r>
        <w:rPr>
          <w:rFonts w:ascii="Times New Roman" w:cs="Times New Roman" w:eastAsia="Times New Roman" w:hAnsi="Times New Roman"/>
          <w:sz w:val="18"/>
          <w:szCs w:val="18"/>
          <w:b w:val="1"/>
          <w:bCs w:val="1"/>
          <w:color w:val="auto"/>
        </w:rPr>
        <w:t>Closing Redemption</w:t>
      </w:r>
      <w:r>
        <w:rPr>
          <w:rFonts w:ascii="Times New Roman" w:cs="Times New Roman" w:eastAsia="Times New Roman" w:hAnsi="Times New Roman"/>
          <w:sz w:val="18"/>
          <w:szCs w:val="18"/>
          <w:color w:val="auto"/>
        </w:rPr>
        <w:t>”), and (b) with respect to the holders of the Specified Warrants, by the assumption of such warrants by Bull Horn as Assumed Warrants.</w:t>
      </w:r>
    </w:p>
    <w:p>
      <w:pPr>
        <w:spacing w:after="0" w:line="192"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The Merger Consideration deliverable to Coeptis stockholders will be allocated pro rata after giving effect to the Preferred Stock Exchange and deducting the value attributable to the Assumed Warrants as if the Specified Warrants that become Assumed Warrants were exercised on a net exercise basis as of immediately prior to the Closing. The Coeptis Convertible Debt, along with (i) certain other outstanding indebtedness of Coeptis as of the date of the Merger Agreement (which together with the Coeptis Convertible Debt, has aggregate outstanding obligations of approximately $3.9 million as of such date), and (ii) certain other indebtedness that Coeptis is permitted to incur between the signing of the Merger Agreement and the Closing, will not affect the Merger Consideration payable to Coeptis security holders (the Coeptis Convertible Debt and such other indebtedness, “</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contains a number of representations and warranties by each of Bull Horn and Coeptis as of the date of the Merger Agreement and as of the date of the Closing. Many of the representations and warranties are qualified by materiality or Material Adverse Effect.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Adverse Effect</w:t>
      </w:r>
      <w:r>
        <w:rPr>
          <w:rFonts w:ascii="Times New Roman" w:cs="Times New Roman" w:eastAsia="Times New Roman" w:hAnsi="Times New Roman"/>
          <w:sz w:val="18"/>
          <w:szCs w:val="18"/>
          <w:color w:val="auto"/>
        </w:rPr>
        <w:t>” as used in the Merger Agreement means with respect to any specified person or entity, any fact, event, occurrence, change or effect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had or would reasonably be expected to have, individually or in the aggregate, a material adverse effect on (a) the business, assets, liabilities, results of operations or condition (financial or otherwise) of such person or entity and its subsidiaries, taken as a whole, or (b) the ability of such person or entity or any of its subsidiaries on a timely basis to consummate the transactions contemplated by the Merger Agreement or the ancillary documents to which it is a party or bound or to perform its obligations thereunder, in each case subject to certain customary exceptions. Certain of the representations are subject to specified exceptions and qualifications contained in the Merger Agreement or in information provided pursuant to certain disclosure schedules to the Merger Agreement. Certain representations made by Coeptis for periods prior to February 12, 2021, the date that it completed a reverse merger with a public shell, are given to its actual knowledge as it relates to itself, but not its subsidiaries. The representations and warranties made by Bull Horn and Coeptis are customary for transactions similar to the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Survival</w:t>
      </w:r>
    </w:p>
    <w:p>
      <w:pPr>
        <w:spacing w:after="0" w:line="229" w:lineRule="exact"/>
        <w:rPr>
          <w:sz w:val="20"/>
          <w:szCs w:val="20"/>
          <w:color w:val="auto"/>
        </w:rPr>
      </w:pPr>
    </w:p>
    <w:p>
      <w:pPr>
        <w:jc w:val="both"/>
        <w:ind w:right="180" w:firstLine="432"/>
        <w:spacing w:after="0" w:line="289" w:lineRule="auto"/>
        <w:rPr>
          <w:sz w:val="20"/>
          <w:szCs w:val="20"/>
          <w:color w:val="auto"/>
        </w:rPr>
      </w:pPr>
      <w:r>
        <w:rPr>
          <w:rFonts w:ascii="Times New Roman" w:cs="Times New Roman" w:eastAsia="Times New Roman" w:hAnsi="Times New Roman"/>
          <w:sz w:val="17"/>
          <w:szCs w:val="17"/>
          <w:color w:val="auto"/>
        </w:rPr>
        <w:t>The representations and warranties of the parties contained in the Merger Agreement terminate as of, and do not survive, the Closing, and there are no indemnification rights for another party’s breach. The covenants and agreements of the parties contained in the Merger Agreement do not survive the Closing, except those covenants and agreements to be performed after the Closing, which covenants and agreements will survive until fully performed.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of the Parties</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Each party agreed in the Merger Agreement to use its commercially reasonable efforts to effect the Closing. The Merger Agreement also contains certain customary covenants by each of the parties during the period between the signing of the Merger Agreement and the earlier of the Closing or the termination of the Merger Agreement in accordance with its terms (the “</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including (1) the provision of access to their properties, books and personnel; (2) the operation of their respective businesses in the ordinary course of business; (3) provision of financial statements by Coeptis; (4) Bull Horn and Coeptis public filings; (5) no insider trading; (6) notifications of certain consent requirements or other matters; (7) efforts to consummate the Closing and obtain third party and regulatory approvals; (8) tax matters; (9) further assurances; (10) public announcements; (11) confidentiality; (12) stock exchange listing requirements; and (13) the Domestication. Each party also agreed during the Interim Period not to solicit, assist, initiate, facilitate or knowingly encourage any proposal or offer, or enter into any agreement for, an alternative competing transaction, to notify the others as promptly as practicable in writing of the receipt of any proposals or offers or requests for information relating to an alternative competing transaction or any requests for non-public information relating to such transaction, and to keep the others informed of the status of any such requests, proposals or offers. The parties also agreed that if they together decide in good faith during the Interim Period that financing is reasonably required prior to the Closing, they will reasonably cooperate to obtain such financing. There are also certain customary post-Closing covenants regarding indemnification of directors and officers; and use of trust account proceeds.</w:t>
      </w:r>
    </w:p>
    <w:p>
      <w:pPr>
        <w:spacing w:after="0" w:line="187"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and the consummation of the Transactions require the approval of both Bull Horn’s shareholders and Coeptis’ stockholders. Bull Horn agreed, as promptly as practicable after the date of the Merger Agreement, to prepare, with reasonable assistance from Coeptis, and file with the SEC, a registration statement on Form S-4 (as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in connection with the registration under the Securities Act of the issuance of the shares of Bull Horn common stock to be issued to the Coeptis stockholders, and the deemed reissuance of Bull Horn securities to Bull Horn’s security holders as a result of the Domestication, and containing a proxy statement for the purpose of Bull Horn soliciting proxies from the shareholders of Bull Horn to approve the Merger Agreement, the Domestication, the Transactions and related matters (the “</w:t>
      </w:r>
      <w:r>
        <w:rPr>
          <w:rFonts w:ascii="Times New Roman" w:cs="Times New Roman" w:eastAsia="Times New Roman" w:hAnsi="Times New Roman"/>
          <w:sz w:val="18"/>
          <w:szCs w:val="18"/>
          <w:b w:val="1"/>
          <w:bCs w:val="1"/>
          <w:color w:val="auto"/>
        </w:rPr>
        <w:t>Bull Horn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at a special meeting of Bull Horn’s shareholders (the “</w:t>
      </w:r>
      <w:r>
        <w:rPr>
          <w:rFonts w:ascii="Times New Roman" w:cs="Times New Roman" w:eastAsia="Times New Roman" w:hAnsi="Times New Roman"/>
          <w:sz w:val="18"/>
          <w:szCs w:val="18"/>
          <w:b w:val="1"/>
          <w:bCs w:val="1"/>
          <w:color w:val="auto"/>
        </w:rPr>
        <w:t>Bull Horn Special Meeting</w:t>
      </w:r>
      <w:r>
        <w:rPr>
          <w:rFonts w:ascii="Times New Roman" w:cs="Times New Roman" w:eastAsia="Times New Roman" w:hAnsi="Times New Roman"/>
          <w:sz w:val="18"/>
          <w:szCs w:val="18"/>
          <w:color w:val="auto"/>
        </w:rPr>
        <w:t>”) and providing such shareholders an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the Closing Redemption. The Bull Horn Shareholder Approval will also include approval by Bull Horn’s stockholders of (i) the adoption of a new equity incentive plan (in a form to be agreed by the parties during the Interim Period) which will have available for issuance thereunder new awards equal to 10% of the issued and outstanding shares of Bull Horn immediately after the Closing and (ii) an amendment to Bull Horn’s organizational documents effective as of the Closing in a form to be agreed by the parties in order to, among other matters, change Bull Horn’s name to “Coeptis Therapeutics Holdings, Inc.”, remove the blank check company provisions and generally adopt terms that are more reflective of customary public company organizational documents.</w:t>
      </w:r>
    </w:p>
    <w:p>
      <w:pPr>
        <w:spacing w:after="0" w:line="187"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Coeptis agreed in the Merger Agreement to call a meeting of its stockholders as promptly as practicable after the Registration Statement has become effective and use its reasonable best efforts to solicit from Coeptis stockholders proxies in favor of the Merger Agreement and the Transactions and certain related matters (the “</w:t>
      </w:r>
      <w:r>
        <w:rPr>
          <w:rFonts w:ascii="Times New Roman" w:cs="Times New Roman" w:eastAsia="Times New Roman" w:hAnsi="Times New Roman"/>
          <w:sz w:val="18"/>
          <w:szCs w:val="18"/>
          <w:b w:val="1"/>
          <w:bCs w:val="1"/>
          <w:color w:val="auto"/>
        </w:rPr>
        <w:t>Coeptis Stockholder Approval</w:t>
      </w:r>
      <w:r>
        <w:rPr>
          <w:rFonts w:ascii="Times New Roman" w:cs="Times New Roman" w:eastAsia="Times New Roman" w:hAnsi="Times New Roman"/>
          <w:sz w:val="18"/>
          <w:szCs w:val="18"/>
          <w:color w:val="auto"/>
        </w:rPr>
        <w:t>”), and to take all other actions necessary or advisable to secure such approvals, including enforcing the Voting Agreement (as described below), which is the intent of this proxy statement.</w:t>
      </w:r>
    </w:p>
    <w:p>
      <w:pPr>
        <w:spacing w:after="0" w:line="176" w:lineRule="exact"/>
        <w:rPr>
          <w:sz w:val="20"/>
          <w:szCs w:val="20"/>
          <w:color w:val="auto"/>
        </w:rPr>
      </w:pPr>
    </w:p>
    <w:p>
      <w:pPr>
        <w:ind w:firstLine="432"/>
        <w:spacing w:after="0" w:line="273" w:lineRule="auto"/>
        <w:rPr>
          <w:sz w:val="20"/>
          <w:szCs w:val="20"/>
          <w:color w:val="auto"/>
        </w:rPr>
      </w:pPr>
      <w:r>
        <w:rPr>
          <w:rFonts w:ascii="Times New Roman" w:cs="Times New Roman" w:eastAsia="Times New Roman" w:hAnsi="Times New Roman"/>
          <w:sz w:val="17"/>
          <w:szCs w:val="17"/>
          <w:color w:val="auto"/>
        </w:rPr>
        <w:t>The parties also agreed to take all necessary action, so that effective at the Closing, the entire board of directors of Bull Horn (the “</w:t>
      </w:r>
      <w:r>
        <w:rPr>
          <w:rFonts w:ascii="Times New Roman" w:cs="Times New Roman" w:eastAsia="Times New Roman" w:hAnsi="Times New Roman"/>
          <w:sz w:val="17"/>
          <w:szCs w:val="17"/>
          <w:b w:val="1"/>
          <w:bCs w:val="1"/>
          <w:color w:val="auto"/>
        </w:rPr>
        <w:t>Post-Closing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will consist of seven individuals, a majority of whom shall be independent directors in accordance with Nasdaq requirements. Two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members of the Post-Closing Board will be individuals (at least one of whom shall be an independent director) designated by Bull Horn prior to the Closing and the remaining five members of the Post-Closing Board (at least three of whom shall be independent directors) will be designated by Coeptis prior to the Closing. At or prior to Closing, Bull Horn will provide each of the directors with a customary director indemnification agreement, in form and substance reasonably acceptable to such director. The parties also agreed to take all action necessary, so that the individuals serving as chief executive officer and chief financial officer, respectively, of Bull Horn immediately after Closing will be the same individuals as that of Coeptis immediately prior to the Closing.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Merger Agreement contains customary conditions to Closing, including the following mutual conditions of the parties (unless waived): (i)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 Horn Shareholder Approval; (ii) the Coeptis Stockholder Approval; (iii) approvals of any required governmental authorities and completion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antitrust expiration periods; (iv) receipt of specified third party consents; (v) no law or order preventing the Transactions; (vi) the satisfaction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$5,000,001 minimum net tangible asset test by Bull Horn; (vii) the appointment of the Post-Closing Board and officers of Bull Horn as of the Closing,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noted above; (viii) the Registration Statement having been declared effective by the SEC; and (ix) approval of the Bull Horn common stock for listing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Capital Market, subject to official notice of issuance, which condition may not be waived by the parties without recirculation or resolicitation.</w:t>
      </w:r>
    </w:p>
    <w:p>
      <w:pPr>
        <w:spacing w:after="0" w:line="20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In order to continue listing its securities on the Nasdaq Capital Market, the Company must maintain certain financial, distribution, liquidity and stock price levels. For instance, the Company’s stock price would generally be required to be at least $4 per share and its stockholders’ equity would generally be required to be at least $5 million and the Company would be required to have a minimum of 300 public holders of “round lots” of 100 shares (with at least 50% of such round lot holders holding securities with a market value of at least $2,500). Bull Horn has applied for the continued listing of the Company Common Stock and warrants on the Nasdaq Capital Market effective upon the consummation of the Business Combination and expects to meet the listing standard upon the consummation of the Business Combination.</w:t>
      </w:r>
    </w:p>
    <w:p>
      <w:pPr>
        <w:spacing w:after="0" w:line="187" w:lineRule="exact"/>
        <w:rPr>
          <w:sz w:val="20"/>
          <w:szCs w:val="20"/>
          <w:color w:val="auto"/>
        </w:rPr>
      </w:pPr>
    </w:p>
    <w:p>
      <w:pPr>
        <w:ind w:right="80" w:firstLine="432"/>
        <w:spacing w:after="0" w:line="257" w:lineRule="auto"/>
        <w:rPr>
          <w:sz w:val="20"/>
          <w:szCs w:val="20"/>
          <w:color w:val="auto"/>
        </w:rPr>
      </w:pPr>
      <w:r>
        <w:rPr>
          <w:rFonts w:ascii="Times New Roman" w:cs="Times New Roman" w:eastAsia="Times New Roman" w:hAnsi="Times New Roman"/>
          <w:sz w:val="18"/>
          <w:szCs w:val="18"/>
          <w:color w:val="auto"/>
        </w:rPr>
        <w:t>Unless waived by Coeptis, the obligations of Coeptis to consummate the Transactions are subject to the satisfaction of the following additional Closing conditions, in addition to the delivery by Bull Horn of customary certificates and other Closing deliverables: (i) the representations and warranties of Bull Horn being true and correct as of the date of the Closing, except to the extent made as of a particular date (subject to certain materiality qualifiers);</w:t>
      </w:r>
    </w:p>
    <w:p>
      <w:pPr>
        <w:spacing w:after="0" w:line="1" w:lineRule="exact"/>
        <w:rPr>
          <w:sz w:val="20"/>
          <w:szCs w:val="20"/>
          <w:color w:val="auto"/>
        </w:rPr>
      </w:pPr>
    </w:p>
    <w:p>
      <w:pPr>
        <w:jc w:val="both"/>
        <w:ind w:right="580" w:firstLine="8"/>
        <w:spacing w:after="0" w:line="253" w:lineRule="auto"/>
        <w:tabs>
          <w:tab w:leader="none" w:pos="26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Bull Horn and Merger Sub having performed in all material respects their respective obligations and complied in all material respects with their respective covenants and agreements under the Merger Agreement required to be performed or complied with by them on or prior to the date of the Closing; (iii) the absence of any Material Adverse Effect with respect to Bull Horn since the date of the Merger Agreement which is continuing and uncured.</w:t>
      </w:r>
    </w:p>
    <w:p>
      <w:pPr>
        <w:spacing w:after="0" w:line="189" w:lineRule="exact"/>
        <w:rPr>
          <w:sz w:val="20"/>
          <w:szCs w:val="20"/>
          <w:color w:val="auto"/>
        </w:rPr>
      </w:pPr>
    </w:p>
    <w:p>
      <w:pPr>
        <w:ind w:right="120" w:firstLine="432"/>
        <w:spacing w:after="0" w:line="268" w:lineRule="auto"/>
        <w:rPr>
          <w:sz w:val="20"/>
          <w:szCs w:val="20"/>
          <w:color w:val="auto"/>
        </w:rPr>
      </w:pPr>
      <w:r>
        <w:rPr>
          <w:rFonts w:ascii="Times New Roman" w:cs="Times New Roman" w:eastAsia="Times New Roman" w:hAnsi="Times New Roman"/>
          <w:sz w:val="17"/>
          <w:szCs w:val="17"/>
          <w:color w:val="auto"/>
        </w:rPr>
        <w:t>Unless waived by Bull Horn, the obligations of Bull Horn and Merger Sub to consummate the Transactions are subject to the satisfaction of the following additional Closing conditions, in addition to the delivery by Coeptis of customary certificates and other Closing deliverables: (i) the representations and warranties of Coeptis being true and correct as of the date of the Closing, except to the extent made as of a particular date (subject to certain materiality qualifiers); (ii) Coeptis having performed in all material respects its obligations and complied in all material respects with its covenants and agreements under the Merger Agreement required to be performed or complied with or by it on or prior to the date of the Closing; (iii) the absence of any Material Adverse Effect with respect to Coeptis since the date of the Merger Agreement which is continuing and uncured; and (iv) the delivery by Coeptis of executed (A) non-competition and non-solicitation agreements from certain key stockholders of Coeptis with a restricted period of four years after the Closing based on the business conducted by Coeptis as of the Closing and otherwise in a form to be agreed by the parties prior to the Closing,</w:t>
      </w:r>
    </w:p>
    <w:p>
      <w:pPr>
        <w:ind w:firstLine="8"/>
        <w:spacing w:after="0" w:line="253" w:lineRule="auto"/>
        <w:tabs>
          <w:tab w:leader="none" w:pos="2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lock-up agreements from Coeptis stockholders that are officers, directors or 5% stockholders of Coeptis to subject their Merger Consideration to a lock-up for a period substantially identical to the lock-up period agreed to by Bull Horn’s sponsor with respect its founder shares at the time of Bull Horn’s initial public offering and otherwise in a form to be agreed by the parties prior to the Closing, and (C) employment agreements with certain key employees of Coeptis, effective as of the Closing.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Merger Agreement does not include a minimum cash condition.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may be terminated under certain customary and limited circumstances at any time prior to the Closing, including: (i) by mutual written consent of Bull Horn and Coeptis; (ii) by either Bull Horn or Coeptis if any of the conditions to Closing have not been satisfied or waived by November 3, 2022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(iii) by either Bull Horn or Coeptis if a governmental authority of competent jurisdiction has issued an order or taken any other action permanently restraining, enjoining or otherwise prohibiting the Transactions, and such order or other action has become final and non-appealable; (iv) by either Bull Horn or Coeptis in the event of the other party’s uncured breach, if such breach would result in the failure of a closing condition and is incapable of being cured or has not been cured within 30 days after notice of such breach or the Outside Date; (v) by Bull Horn if there has been a Material Adverse Effect on Coeptis and its subsidiaries taken as a whole following the date of the Merger Agreement that remains uncured and continuing; (vi) by either Bull Horn or Coeptis if the shareholders of Bull Horn do not provide the Bull Horn Shareholder Approval at an extraordinary general shareholder meeting held by Bull Horn; and (vii) by either Bull Horn or Coeptis if Coeptis holds a special meeting of its stockholders for the Coeptis Stockholder Approval and the Coeptis Stockholder Approval is not obtained.</w:t>
      </w:r>
    </w:p>
    <w:p>
      <w:pPr>
        <w:spacing w:after="0" w:line="19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If the Merger Agreement is terminated, all further obligations of the parties under the Merger Agreement (except for certain obligations related to publicity, confidentiality, fees and expenses, trust fund waiver, no recourse, termination and general provisions) will terminate, and no party to the Merger Agreement will have any further liability to any other party thereto except for liability for fraud or for willful breach of the Merger Agreement prior to termination. The Merger Agreement does not provide for any termination fees.</w:t>
      </w:r>
    </w:p>
    <w:p>
      <w:pPr>
        <w:spacing w:after="0" w:line="180" w:lineRule="exact"/>
        <w:rPr>
          <w:sz w:val="20"/>
          <w:szCs w:val="20"/>
          <w:color w:val="auto"/>
        </w:rPr>
      </w:pPr>
    </w:p>
    <w:p>
      <w:pPr>
        <w:ind w:right="760" w:firstLine="432"/>
        <w:spacing w:after="0" w:line="282" w:lineRule="auto"/>
        <w:rPr>
          <w:sz w:val="20"/>
          <w:szCs w:val="20"/>
          <w:color w:val="auto"/>
        </w:rPr>
      </w:pPr>
      <w:r>
        <w:rPr>
          <w:rFonts w:ascii="Times New Roman" w:cs="Times New Roman" w:eastAsia="Times New Roman" w:hAnsi="Times New Roman"/>
          <w:sz w:val="18"/>
          <w:szCs w:val="18"/>
          <w:color w:val="auto"/>
        </w:rPr>
        <w:t>Each party will be responsible for its own costs and expenses, except that Bull Horn and Coeptis will split any antitrust filing fees and SEC registration fees and other regulatory fees equally.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 Account Waiver</w:t>
      </w:r>
    </w:p>
    <w:p>
      <w:pPr>
        <w:spacing w:after="0" w:line="229" w:lineRule="exact"/>
        <w:rPr>
          <w:sz w:val="20"/>
          <w:szCs w:val="20"/>
          <w:color w:val="auto"/>
        </w:rPr>
      </w:pPr>
    </w:p>
    <w:p>
      <w:pPr>
        <w:ind w:right="60" w:firstLine="432"/>
        <w:spacing w:after="0" w:line="312" w:lineRule="auto"/>
        <w:rPr>
          <w:sz w:val="20"/>
          <w:szCs w:val="20"/>
          <w:color w:val="auto"/>
        </w:rPr>
      </w:pPr>
      <w:r>
        <w:rPr>
          <w:rFonts w:ascii="Times New Roman" w:cs="Times New Roman" w:eastAsia="Times New Roman" w:hAnsi="Times New Roman"/>
          <w:sz w:val="17"/>
          <w:szCs w:val="17"/>
          <w:color w:val="auto"/>
        </w:rPr>
        <w:t>Coeptis agreed that it and its affiliates will not have any right, title, interest or claim of any kind in or to any monies in Bull Horn’s trust account held for its public shareholders, and agreed not to, and waived any right to, make any claim against the trust account (including any distributions therefrom).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 and Arbitration</w:t>
      </w:r>
    </w:p>
    <w:p>
      <w:pPr>
        <w:spacing w:after="0" w:line="229" w:lineRule="exact"/>
        <w:rPr>
          <w:sz w:val="20"/>
          <w:szCs w:val="20"/>
          <w:color w:val="auto"/>
        </w:rPr>
      </w:pPr>
    </w:p>
    <w:p>
      <w:pPr>
        <w:ind w:right="380" w:firstLine="432"/>
        <w:spacing w:after="0" w:line="261" w:lineRule="auto"/>
        <w:rPr>
          <w:sz w:val="20"/>
          <w:szCs w:val="20"/>
          <w:color w:val="auto"/>
        </w:rPr>
      </w:pPr>
      <w:r>
        <w:rPr>
          <w:rFonts w:ascii="Times New Roman" w:cs="Times New Roman" w:eastAsia="Times New Roman" w:hAnsi="Times New Roman"/>
          <w:sz w:val="18"/>
          <w:szCs w:val="18"/>
          <w:color w:val="auto"/>
        </w:rPr>
        <w:t>The Merger Agreement is governed by Delaware law and, subject to the required arbitration provisions, the parties are subject to exclusive jurisdiction of federal and state courts located in Wilmington, Delaware (and any appellate courts thereof). Any disputes under the Merger Agreement, other than claims for injunctive or temporary equitable relief or enforcement of an arbitration award, will be subject to arbitration by the American Arbitration Association, to be held in Wilmington, Delaware.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Agreement</w:t>
      </w:r>
    </w:p>
    <w:p>
      <w:pPr>
        <w:spacing w:after="0" w:line="22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describes the material provisions of a certain additional agreement entered into or to be entered into pursuant to the Merger Agreement (the “</w:t>
      </w:r>
      <w:r>
        <w:rPr>
          <w:rFonts w:ascii="Times New Roman" w:cs="Times New Roman" w:eastAsia="Times New Roman" w:hAnsi="Times New Roman"/>
          <w:sz w:val="18"/>
          <w:szCs w:val="18"/>
          <w:b w:val="1"/>
          <w:bCs w:val="1"/>
          <w:i w:val="1"/>
          <w:iCs w:val="1"/>
          <w:color w:val="auto"/>
        </w:rPr>
        <w:t>Related Agreement</w:t>
      </w:r>
      <w:r>
        <w:rPr>
          <w:rFonts w:ascii="Times New Roman" w:cs="Times New Roman" w:eastAsia="Times New Roman" w:hAnsi="Times New Roman"/>
          <w:sz w:val="18"/>
          <w:szCs w:val="18"/>
          <w:i w:val="1"/>
          <w:iCs w:val="1"/>
          <w:color w:val="auto"/>
        </w:rPr>
        <w:t>”) but does not purport to describe all of the terms thereof or include any additional agreements to be entered into pursuant to the Merger Agreement. The following summary is qualified in its entirety by reference to the complete text of each of the Related Agreement. Bull Horn’s shareholders and other interested parties are urged to read such Related Agreement in its entirety.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Simultaneously with the execution of the Merger Agreement, certain Coeptis stockholders have entered into voting and support agreements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Agreements</w:t>
      </w:r>
      <w:r>
        <w:rPr>
          <w:rFonts w:ascii="Times New Roman" w:cs="Times New Roman" w:eastAsia="Times New Roman" w:hAnsi="Times New Roman"/>
          <w:sz w:val="18"/>
          <w:szCs w:val="18"/>
          <w:color w:val="auto"/>
        </w:rPr>
        <w:t>”) with Bull Horn and Coeptis. Under the Voting Agreements, the Coeptis stockholder party thereto agreed to vote all of its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Coeptis stock in favor of the Merger Agreement and related transactions and to otherwise take certain other actions in support of the Merger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related transactions and the other matters submitted to Coeptis stockholders for their approval, and to provide a proxy to Bull Horn to vote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Coeptis Stock accordingly. The Voting Agreements prevent transfers of the Coeptis stock held by the applicable Coeptis stockholder between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Agreement and the date of the Closing, except for (i) certain permitted transfers where the recipient also agrees to comply with the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(ii) two Coeptis stockholders who were each permitted to transfer up to 300,000 shares of Coeptis common stock in open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prior to the Closing.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Coeptis Directors and Officers and Others in the Business Combination</w:t>
      </w:r>
    </w:p>
    <w:p>
      <w:pPr>
        <w:spacing w:after="0" w:line="229"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When you consider the recommendation of the Coeptis Board in favor of approval of the Business Combination Proposal, you should keep in mind that an argument could be made that Coeptis’ directors and officers, have interests in such proposal that are different from, or in addition to, those of Coeptis stockholders generally. Aside from their interests as stockholders, Coeptis’ directors and officers have interests in the Business Combination that are different from, or in addition to, those of Coeptis’ other stockholders generally. Coeptis’ stockholders should take these interests into account in deciding whether to approve the Business Combination. These interests include, among other things the fact that Coeptis’ directors own shares of Coeptis common stock and Coeptis preferred stock which were initially acquired for purchase prices below prices originally paid by other Coeptis stockholders. In addition, it is anticipated that David Mehalick and Daniel Yerace will each be a member of the Company’s board of directors following the closing of the Business Combination, and each of Coeptis’ current officers will become officers of the Company following the closing of the Business Combination, and, as such, after the proposed Business Combination is consummated, Mr. Mehalick, Mr. Yerace and the other officers may in the future receive cash fees, stock options or stock awards that the Company Board determines to pay to its directors and officers. These interests may have influenced Coeptis’ directors in making their recommendation that you vote in favor of the approval of the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9"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At the closing of the Business Combination, Bull Horn’s Units will separate into their component shares of the Company Common Stock and warrants so that the Units will no longer trade separately under “BHSEU.” Coeptis and Bull Horn have applied for the continued listing of the Company Common Stock and warrants on Nasdaq under the ticker symbols “COEP” and “COEPW,”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2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Coeptis Pharmaceuticals, LLC (LLC) was formed on July 12, 2017 as a Pennsylvania multi-member limited liability company. On December 1, 2018, the members of LLC contributed their interest to a newly formed corporation, Coeptis Pharmaceuticals, Inc. (“Coeptis”). As of December 1, 2018, the LLC became a disregarded single-member limited liability company which is wholly owned by the newly formed corporation. On February 12, 2021, Coeptis Acquisition Sub, Inc. (“Acquisition Corp.”), a wholly-owned subsidiary of Vinings Holdings, Inc., a Delaware corporation (“Vinings”), merged (the “2021 Merger”) with and into Coeptis Pharmaceuticals, Inc. a Delaware corporation (“Coeptis”). Coeptis was the surviving corporation of that 2021 Merger. As a result of the 2021 Merger, Vinings acquired the business of Coeptis and continues the existing business operations of Coeptis as a wholly-owned subsidiary. On July 12, 2021, the Company legally changed its name from Vinings Holdings, Inc. to Coeptis Therapeutics, Inc. The 2021 Merger was treated as a recapitalization of the Company for financial accounting purposes. The historical financial statements of Vinings before the 2021 Merger have been replaced with the historical financial statements of Coeptis before the 2021 Merger in all future filings with the Securities and Exchange Commission (the “SEC”). The Company is located in Wexford, PA, and engages primarily in the acquisition, development, and commercialization of pharmaceutical products.</w:t>
      </w:r>
    </w:p>
    <w:p>
      <w:pPr>
        <w:spacing w:after="0" w:line="192"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Bull Horn is a blank check company incorporated on November 27, 2018 as a British Virgin Islands business company and for the purpose of effecting a merger, share exchange, share reconstruction or amalgamation, asset or share acquisition, a contractual arrangement or other similar business combination transaction.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6" w:name="page77"/>
    <w:bookmarkEnd w:id="76"/>
    <w:p>
      <w:pPr>
        <w:ind w:left="440"/>
        <w:spacing w:after="0"/>
        <w:rPr>
          <w:sz w:val="20"/>
          <w:szCs w:val="20"/>
          <w:color w:val="auto"/>
        </w:rPr>
      </w:pPr>
      <w:r>
        <w:rPr>
          <w:rFonts w:ascii="Times New Roman" w:cs="Times New Roman" w:eastAsia="Times New Roman" w:hAnsi="Times New Roman"/>
          <w:sz w:val="18"/>
          <w:szCs w:val="18"/>
          <w:i w:val="1"/>
          <w:iCs w:val="1"/>
          <w:color w:val="auto"/>
        </w:rPr>
        <w:t>Description of Negotiation Process with Bull Horn</w:t>
      </w:r>
    </w:p>
    <w:p>
      <w:pPr>
        <w:spacing w:after="0" w:line="227"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On March 11, 2022, Coeptis and Bull Horn entered into an NDA allowing full access to the data room and extensive conversations. Bull Horn and its representatives and advisors (including EGS, Vantage Point and Jones Trading) conducted extensive due diligence with respect to Coeptis.</w:t>
      </w:r>
    </w:p>
    <w:p>
      <w:pPr>
        <w:spacing w:after="0" w:line="162"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On March 22, 2022, Christopher Calise, Chief Financial Officer and Director of Bull Horn, Dave Mehalick, Chief Executive Officer of Coeptis, and John D’Agostini, of JonesTrading, met to discuss Coeptis and its assets and future pipeline. On the same date, Bull Horn provided a legal due diligence request list to Coeptis.</w:t>
      </w:r>
    </w:p>
    <w:p>
      <w:pPr>
        <w:spacing w:after="0" w:line="176"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On March 25, 2022, Coeptis provided Bull Horn and EGS access to the Coeptis virtual data room containing certain legal materials of Coeptis. The virtual data room was periodically updated with additional documentation through the diligence process.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March 26, 2022, a proposed form of LOI was sent by Bull Horn to Coeptis.</w:t>
      </w:r>
    </w:p>
    <w:p>
      <w:pPr>
        <w:spacing w:after="0" w:line="22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Between March 26, 2022, and March 29, 2022, multiple conversations via phone and email were held by Bull Horn and Coeptis regarding the terms of the LOI. The LOI contemplated an approximately $175 million purchase price, which price had been initially proposed by Bull Horn. Bull Horn advised Coeptis that when determining the $175 million purchase price for Coeptis, Bull Horn considered the valuation of comparable companies in the biotech industry as well as the market capitalization of Coeptis’ shares on the OTC Pink. Bull Horn considered both the 45-day (approximately $165 million) and 60-day (approximately $183 million) average market capitalization from Bloomberg to arrive at its valuation.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Coeptis separately discussed the terms of the LOI, including the proposed purchase price, with Bridgeway, and agreed to the proposed purchase price.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subsequent negotiations regarding the purchase price between the parties.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March 28, 2022, the parties and their representatives conferred by teleconference to review and discuss remaining open issues in the draft LOI.</w:t>
      </w:r>
    </w:p>
    <w:p>
      <w:pPr>
        <w:spacing w:after="0" w:line="225" w:lineRule="exact"/>
        <w:rPr>
          <w:sz w:val="20"/>
          <w:szCs w:val="20"/>
          <w:color w:val="auto"/>
        </w:rPr>
      </w:pPr>
    </w:p>
    <w:p>
      <w:pPr>
        <w:ind w:right="720" w:firstLine="432"/>
        <w:spacing w:after="0" w:line="282" w:lineRule="auto"/>
        <w:rPr>
          <w:sz w:val="20"/>
          <w:szCs w:val="20"/>
          <w:color w:val="auto"/>
        </w:rPr>
      </w:pPr>
      <w:r>
        <w:rPr>
          <w:rFonts w:ascii="Times New Roman" w:cs="Times New Roman" w:eastAsia="Times New Roman" w:hAnsi="Times New Roman"/>
          <w:sz w:val="18"/>
          <w:szCs w:val="18"/>
          <w:color w:val="auto"/>
        </w:rPr>
        <w:t>On March 29, 2022, the LOI was executed by both parties and the parties, and their respective counsels commenced negotiation of a merger agreement.</w:t>
      </w:r>
    </w:p>
    <w:p>
      <w:pPr>
        <w:spacing w:after="0" w:line="162" w:lineRule="exact"/>
        <w:rPr>
          <w:sz w:val="20"/>
          <w:szCs w:val="20"/>
          <w:color w:val="auto"/>
        </w:rPr>
      </w:pPr>
    </w:p>
    <w:p>
      <w:pPr>
        <w:ind w:right="680" w:firstLine="432"/>
        <w:spacing w:after="0" w:line="282" w:lineRule="auto"/>
        <w:rPr>
          <w:sz w:val="20"/>
          <w:szCs w:val="20"/>
          <w:color w:val="auto"/>
        </w:rPr>
      </w:pPr>
      <w:r>
        <w:rPr>
          <w:rFonts w:ascii="Times New Roman" w:cs="Times New Roman" w:eastAsia="Times New Roman" w:hAnsi="Times New Roman"/>
          <w:sz w:val="18"/>
          <w:szCs w:val="18"/>
          <w:color w:val="auto"/>
        </w:rPr>
        <w:t>Subsequent to the execution of the LOI, Bull Horn commenced its business and financial due diligence and assessment of Coeptis, including reviewing forecast, valuation models and market comparables prepared by JonesTrading.</w:t>
      </w:r>
    </w:p>
    <w:p>
      <w:pPr>
        <w:spacing w:after="0" w:line="162"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On April 8, 2022, EGS circulated a draft merger agreement with Coeptis. EGS also circulated a supplemental legal due diligence request list to Meister Seelig &amp; Fein LLP (“</w:t>
      </w:r>
      <w:r>
        <w:rPr>
          <w:rFonts w:ascii="Times New Roman" w:cs="Times New Roman" w:eastAsia="Times New Roman" w:hAnsi="Times New Roman"/>
          <w:sz w:val="18"/>
          <w:szCs w:val="18"/>
          <w:b w:val="1"/>
          <w:bCs w:val="1"/>
          <w:color w:val="auto"/>
        </w:rPr>
        <w:t>MSF</w:t>
      </w:r>
      <w:r>
        <w:rPr>
          <w:rFonts w:ascii="Times New Roman" w:cs="Times New Roman" w:eastAsia="Times New Roman" w:hAnsi="Times New Roman"/>
          <w:sz w:val="18"/>
          <w:szCs w:val="18"/>
          <w:color w:val="auto"/>
        </w:rPr>
        <w:t>”), Coeptis’ counsel.</w:t>
      </w:r>
    </w:p>
    <w:p>
      <w:pPr>
        <w:spacing w:after="0" w:line="162"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Between April 8, 2022, and April 18, 2022, multiple communications, including emails, calls and video conferences, took place between Coeptis, Bull Horn and Meteora Capital, LLC, a member of the sponsor.</w:t>
      </w:r>
    </w:p>
    <w:p>
      <w:pPr>
        <w:spacing w:after="0" w:line="162"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On April 11, 2022, EGS and MSF conferred for the purpose of identifying and discussing key open issues in relation to the draft merger agreement and the proposed transaction, including without limitation with respect to ancillary agreements, adjustments to merger consideration, treatment of Coeptis convertible securities, board composition and structure, conduct of Coeptis during the period between signing and closing of the merger agreement, the domestication of Bull Horn in Delaware, and Nasdaq process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7" w:name="page78"/>
    <w:bookmarkEnd w:id="77"/>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On April 13, 2022, MSF circulated a revised draft of the merger agreement. Bull Horn continued conversations with EGS regarding the provisions of the merger agreement. EGS engaged in discussions with Ogier, Bull Horn’s British Virgin Islands legal counsel, regarding local law corporate governance and other matters in relation to the proposed transaction.</w:t>
      </w:r>
    </w:p>
    <w:p>
      <w:pPr>
        <w:spacing w:after="0" w:line="176" w:lineRule="exact"/>
        <w:rPr>
          <w:sz w:val="20"/>
          <w:szCs w:val="20"/>
          <w:color w:val="auto"/>
        </w:rPr>
      </w:pPr>
    </w:p>
    <w:p>
      <w:pPr>
        <w:ind w:right="760" w:firstLine="432"/>
        <w:spacing w:after="0" w:line="282" w:lineRule="auto"/>
        <w:rPr>
          <w:sz w:val="20"/>
          <w:szCs w:val="20"/>
          <w:color w:val="auto"/>
        </w:rPr>
      </w:pPr>
      <w:r>
        <w:rPr>
          <w:rFonts w:ascii="Times New Roman" w:cs="Times New Roman" w:eastAsia="Times New Roman" w:hAnsi="Times New Roman"/>
          <w:sz w:val="18"/>
          <w:szCs w:val="18"/>
          <w:color w:val="auto"/>
        </w:rPr>
        <w:t>On April 14, 2022, a review of supplemental diligence items continued. EGS and MSF also held a teleconference for the purpose of further negotiation of the draft merger agreement and general transaction planning.</w:t>
      </w:r>
    </w:p>
    <w:p>
      <w:pPr>
        <w:spacing w:after="0" w:line="162" w:lineRule="exact"/>
        <w:rPr>
          <w:sz w:val="20"/>
          <w:szCs w:val="20"/>
          <w:color w:val="auto"/>
        </w:rPr>
      </w:pPr>
    </w:p>
    <w:p>
      <w:pPr>
        <w:ind w:right="820" w:firstLine="432"/>
        <w:spacing w:after="0" w:line="282" w:lineRule="auto"/>
        <w:rPr>
          <w:sz w:val="20"/>
          <w:szCs w:val="20"/>
          <w:color w:val="auto"/>
        </w:rPr>
      </w:pPr>
      <w:r>
        <w:rPr>
          <w:rFonts w:ascii="Times New Roman" w:cs="Times New Roman" w:eastAsia="Times New Roman" w:hAnsi="Times New Roman"/>
          <w:sz w:val="18"/>
          <w:szCs w:val="18"/>
          <w:color w:val="auto"/>
        </w:rPr>
        <w:t>On April 15, 2022, negotiations on the merger agreement and related agreements continued. EGS sent a further revised draft of the merger agreement, as well as initial drafts of the forms of voting agreement and lock-up agreement, to MSF.</w:t>
      </w:r>
    </w:p>
    <w:p>
      <w:pPr>
        <w:spacing w:after="0" w:line="162"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On April 16, 2022, Coeptis management sent various documents to the Bull Horn Board including financial data, updates to the data room and updated presentations.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17, 2022, the parties exchanged revised drafts of the merger agreement and continued discussions regarding the same.</w:t>
      </w:r>
    </w:p>
    <w:p>
      <w:pPr>
        <w:spacing w:after="0" w:line="22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On April 18, 2022, negotiations continued between Bull Horn and Coeptis. Bull Horn advised Coeptis that the Bull Horn Board had met via video conference to discuss the Business Combination, and that at that meeting (i) Vantage Point presented its work for a fairness opinion to the Bull Horn Board and addressed questions from directors, (ii) Ogier advised the Bull Horn directors of their duties as directors and (iii) representatives of EGS provided a summary of the terms of the Merger Agreement and related agreements. Bull Horn then informed Coeptis that the Bull Horn Board then unanimously approved the Merger Agreement and related agreements.</w:t>
      </w:r>
    </w:p>
    <w:p>
      <w:pPr>
        <w:spacing w:after="0" w:line="18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On April 18, 2022, Coeptis’ board of directors met via video conference to discuss the Business Combination. At the meeting (i) Mr. Mehalick summarized the terms of the merger agreement and discussed the $175 million purchase price and (ii) a representative from MSF provided additional information on the merger agreement and certain of the ancillary documents. After discussion, the Coeptis Board voted unanimously to approve the merger agreement and the Business Combination.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18, 2022, the Merger Agreement was executed by both parties.</w:t>
      </w:r>
    </w:p>
    <w:p>
      <w:pPr>
        <w:spacing w:after="0" w:line="225"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On April 19, 2022, Coeptis and Bull Horn issued a press release announcing the execution of the Merger Agreement and Coeptis filed a Current Report on Form 8-K with the SEC disclosing the material provisions of the Merger Agreement.</w:t>
      </w:r>
    </w:p>
    <w:p>
      <w:pPr>
        <w:spacing w:after="0" w:line="162"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parties have continued and expect to continue regular discussions regarding the execution and timing of the Business Combination and to take actions and exercise their respective rights under the Merger Agreement to facilitate the completion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Coeptis Board’s Reasons for the Approval of the Business Combination</w:t>
      </w:r>
    </w:p>
    <w:p>
      <w:pPr>
        <w:spacing w:after="0" w:line="229"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On April 18, 2022, the Merger Agreement was executed by the parties. The Coeptis Board, in evaluating the Business Combination, consulted with its legal counsel, and its independent advisors. In reaching its decision with respect to the Business Combination, the Board reviewed various industry and financial data and the evaluation materials provided by Bull Horn and third-party evaluations.</w:t>
      </w:r>
    </w:p>
    <w:p>
      <w:pPr>
        <w:spacing w:after="0" w:line="17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light of the number and wide variety of factors considered in connection with its evaluation of the Business Combination, the Coeptis Board viewed its decision as being based on all of the information available, third-party experts/advisors and the factors presented to and considered by it. In addition, individual directors may have given different weight to different factors. This explanation of Coeptis’ reasons for the Business Combination and all other information presented in this section is forward-looking in nature and, therefore, should be read in light of the factors discussed under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8"/>
          <w:szCs w:val="18"/>
          <w:color w:val="auto"/>
        </w:rPr>
        <w:t>The Coeptis Board considered a number of factors pertaining to the Business Combination as generally supporting its decision to enter into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Agreement and the transactions contemplated thereby, including but not limited to, the following material factors:</w:t>
      </w:r>
    </w:p>
    <w:p>
      <w:pPr>
        <w:spacing w:after="0" w:line="207" w:lineRule="exact"/>
        <w:rPr>
          <w:sz w:val="20"/>
          <w:szCs w:val="20"/>
          <w:color w:val="auto"/>
        </w:rPr>
      </w:pPr>
    </w:p>
    <w:p>
      <w:pPr>
        <w:ind w:left="880" w:hanging="440"/>
        <w:spacing w:after="0" w:line="254" w:lineRule="auto"/>
        <w:tabs>
          <w:tab w:leader="none" w:pos="8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to be received by Coeptis security holders from the Company at the Closing, having an aggregate value equal to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(i) $175,000,000, minus (or plus if positive), (ii) the amount of Coeptis’ outstanding indebtedness as of immediately prior to the Closing (excluding Permitted Debt, as described below), net of its cash as of immediately prior to the Closing, minus (iii) the amount of Coeptis’ outstanding unpaid transaction expenses and transaction bonuses as of the Closing. The Merger Consideration will be payable, (a) in the case of Coeptis stockholders, solely in new shares of Company common stock, with each share of Company common stock valued at the price per share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at which each share of Company common stock is redeemed or converted pursuant to the redemption by the Company of its public shareholders in connection with the Company’s initial Business Combination, as required by the M&amp;A (as defined below) and the Company’s Initial Public Offering prospectus (the “</w:t>
      </w:r>
      <w:r>
        <w:rPr>
          <w:rFonts w:ascii="Times New Roman" w:cs="Times New Roman" w:eastAsia="Times New Roman" w:hAnsi="Times New Roman"/>
          <w:sz w:val="18"/>
          <w:szCs w:val="18"/>
          <w:b w:val="1"/>
          <w:bCs w:val="1"/>
          <w:color w:val="auto"/>
        </w:rPr>
        <w:t>Closing Redemption</w:t>
      </w:r>
      <w:r>
        <w:rPr>
          <w:rFonts w:ascii="Times New Roman" w:cs="Times New Roman" w:eastAsia="Times New Roman" w:hAnsi="Times New Roman"/>
          <w:sz w:val="18"/>
          <w:szCs w:val="18"/>
          <w:color w:val="auto"/>
        </w:rPr>
        <w:t>”), and (b) with respect to the holders of the Specified Warrants, by the assumption of such warrants by the Company as Assumed Warrants.</w:t>
      </w:r>
    </w:p>
    <w:p>
      <w:pPr>
        <w:spacing w:after="0" w:line="18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details included in the fairness opinion from Vantage Point that was delivered to Bull Horn in connection with the Business Combination.</w:t>
      </w:r>
    </w:p>
    <w:p>
      <w:pPr>
        <w:spacing w:after="0" w:line="225"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Coeptis Board believes that (i) the proposed Business Combination represents the most attractive opportunity for Coeptis’ shareholders to become shareholders of equity that are listed on a national securities exchange and (ii) being listed on a national securities exchange provides Coeptis with better access to capital allowing it to potentially expedite pursuit of its growth strategy.</w:t>
      </w:r>
    </w:p>
    <w:p>
      <w:pPr>
        <w:spacing w:after="0" w:line="175" w:lineRule="exact"/>
        <w:rPr>
          <w:rFonts w:ascii="Times New Roman" w:cs="Times New Roman" w:eastAsia="Times New Roman" w:hAnsi="Times New Roman"/>
          <w:sz w:val="18"/>
          <w:szCs w:val="18"/>
          <w:color w:val="auto"/>
        </w:rPr>
      </w:pPr>
    </w:p>
    <w:p>
      <w:pPr>
        <w:ind w:left="880" w:right="400" w:hanging="440"/>
        <w:spacing w:after="0" w:line="282" w:lineRule="auto"/>
        <w:tabs>
          <w:tab w:leader="none" w:pos="8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other terms of the Merger Agreement and the fact that such terms and conditions are reasonable and were the product of arm’s length negotiations between Coeptis and Bull Horn.</w:t>
      </w:r>
    </w:p>
    <w:p>
      <w:pPr>
        <w:spacing w:after="0" w:line="162"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Coeptis Board also considered a variety of uncertainties and risks and other potentially negative factors concerning the Business Combination, including, but not limited to, the following:</w:t>
      </w:r>
    </w:p>
    <w:p>
      <w:pPr>
        <w:spacing w:after="0" w:line="158" w:lineRule="exact"/>
        <w:rPr>
          <w:sz w:val="20"/>
          <w:szCs w:val="20"/>
          <w:color w:val="auto"/>
        </w:rPr>
      </w:pPr>
    </w:p>
    <w:p>
      <w:pPr>
        <w:ind w:left="880" w:hanging="440"/>
        <w:spacing w:after="0" w:line="286" w:lineRule="auto"/>
        <w:tabs>
          <w:tab w:leader="none" w:pos="8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Macroeconomic Risks. </w:t>
      </w:r>
      <w:r>
        <w:rPr>
          <w:rFonts w:ascii="Times New Roman" w:cs="Times New Roman" w:eastAsia="Times New Roman" w:hAnsi="Times New Roman"/>
          <w:sz w:val="18"/>
          <w:szCs w:val="18"/>
          <w:color w:val="auto"/>
        </w:rPr>
        <w:t>Macroeconomic uncertainty, including the potential impact of the COVID-19 pandemic, and the effects it could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Coeptis’ revenues post-Closing.</w:t>
      </w:r>
    </w:p>
    <w:p>
      <w:pPr>
        <w:spacing w:after="0" w:line="15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Plan May Not Be Achieved.  </w:t>
      </w:r>
      <w:r>
        <w:rPr>
          <w:rFonts w:ascii="Times New Roman" w:cs="Times New Roman" w:eastAsia="Times New Roman" w:hAnsi="Times New Roman"/>
          <w:sz w:val="18"/>
          <w:szCs w:val="18"/>
          <w:color w:val="auto"/>
        </w:rPr>
        <w:t>The risk that Coeptis may not experience the anticipated benefits of a national exchange listing.</w:t>
      </w:r>
    </w:p>
    <w:p>
      <w:pPr>
        <w:spacing w:after="0" w:line="225" w:lineRule="exact"/>
        <w:rPr>
          <w:rFonts w:ascii="Times New Roman" w:cs="Times New Roman" w:eastAsia="Times New Roman" w:hAnsi="Times New Roman"/>
          <w:sz w:val="18"/>
          <w:szCs w:val="18"/>
          <w:color w:val="auto"/>
        </w:rPr>
      </w:pPr>
    </w:p>
    <w:p>
      <w:pPr>
        <w:ind w:left="880" w:right="400" w:hanging="440"/>
        <w:spacing w:after="0" w:line="286" w:lineRule="auto"/>
        <w:tabs>
          <w:tab w:leader="none" w:pos="8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Approval. </w:t>
      </w:r>
      <w:r>
        <w:rPr>
          <w:rFonts w:ascii="Times New Roman" w:cs="Times New Roman" w:eastAsia="Times New Roman" w:hAnsi="Times New Roman"/>
          <w:sz w:val="18"/>
          <w:szCs w:val="18"/>
          <w:color w:val="auto"/>
        </w:rPr>
        <w:t>The risks that Coeptis products in development fail clinical trials or are not approved by the U.S. Food and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or other applicable authorities.</w:t>
      </w:r>
    </w:p>
    <w:p>
      <w:pPr>
        <w:spacing w:after="0" w:line="154" w:lineRule="exact"/>
        <w:rPr>
          <w:rFonts w:ascii="Times New Roman" w:cs="Times New Roman" w:eastAsia="Times New Roman" w:hAnsi="Times New Roman"/>
          <w:sz w:val="18"/>
          <w:szCs w:val="18"/>
          <w:color w:val="auto"/>
        </w:rPr>
      </w:pPr>
    </w:p>
    <w:p>
      <w:pPr>
        <w:ind w:left="880" w:right="420" w:hanging="440"/>
        <w:spacing w:after="0" w:line="286" w:lineRule="auto"/>
        <w:tabs>
          <w:tab w:leader="none" w:pos="8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Diversion of Management. </w:t>
      </w:r>
      <w:r>
        <w:rPr>
          <w:rFonts w:ascii="Times New Roman" w:cs="Times New Roman" w:eastAsia="Times New Roman" w:hAnsi="Times New Roman"/>
          <w:sz w:val="18"/>
          <w:szCs w:val="18"/>
          <w:color w:val="auto"/>
        </w:rPr>
        <w:t>The risks and costs to Coeptis if the Business Combination is not completed, including the risk of diverting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focus and resources from other businesses opportunities.</w:t>
      </w:r>
    </w:p>
    <w:p>
      <w:pPr>
        <w:spacing w:after="0" w:line="154" w:lineRule="exact"/>
        <w:rPr>
          <w:rFonts w:ascii="Times New Roman" w:cs="Times New Roman" w:eastAsia="Times New Roman" w:hAnsi="Times New Roman"/>
          <w:sz w:val="18"/>
          <w:szCs w:val="18"/>
          <w:color w:val="auto"/>
        </w:rPr>
      </w:pPr>
    </w:p>
    <w:p>
      <w:pPr>
        <w:ind w:left="880" w:hanging="440"/>
        <w:spacing w:after="0" w:line="268" w:lineRule="auto"/>
        <w:tabs>
          <w:tab w:leader="none" w:pos="8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Redemption Risk. </w:t>
      </w:r>
      <w:r>
        <w:rPr>
          <w:rFonts w:ascii="Times New Roman" w:cs="Times New Roman" w:eastAsia="Times New Roman" w:hAnsi="Times New Roman"/>
          <w:sz w:val="18"/>
          <w:szCs w:val="18"/>
          <w:color w:val="auto"/>
        </w:rPr>
        <w:t>The potential that a significant number of Bull Horn’s shareholders elect to redeem their shares prior to the consummation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Business Combination and pursuant to Bull Horn’s Current Charter, which would leave the Company with a more significant need for additional near-term capital.</w:t>
      </w:r>
    </w:p>
    <w:p>
      <w:pPr>
        <w:spacing w:after="0" w:line="170"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Vote.  </w:t>
      </w:r>
      <w:r>
        <w:rPr>
          <w:rFonts w:ascii="Times New Roman" w:cs="Times New Roman" w:eastAsia="Times New Roman" w:hAnsi="Times New Roman"/>
          <w:sz w:val="18"/>
          <w:szCs w:val="18"/>
          <w:color w:val="auto"/>
        </w:rPr>
        <w:t>The risk that Bull horn stockholders may fail to provide the votes necessary to approve the Business Combination.</w:t>
      </w:r>
    </w:p>
    <w:p>
      <w:pPr>
        <w:spacing w:after="0" w:line="225" w:lineRule="exact"/>
        <w:rPr>
          <w:rFonts w:ascii="Times New Roman" w:cs="Times New Roman" w:eastAsia="Times New Roman" w:hAnsi="Times New Roman"/>
          <w:sz w:val="18"/>
          <w:szCs w:val="18"/>
          <w:color w:val="auto"/>
        </w:rPr>
      </w:pPr>
    </w:p>
    <w:p>
      <w:pPr>
        <w:ind w:left="880" w:right="140" w:hanging="440"/>
        <w:spacing w:after="0" w:line="262" w:lineRule="auto"/>
        <w:tabs>
          <w:tab w:leader="none" w:pos="8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Required Additional Capital. </w:t>
      </w:r>
      <w:r>
        <w:rPr>
          <w:rFonts w:ascii="Times New Roman" w:cs="Times New Roman" w:eastAsia="Times New Roman" w:hAnsi="Times New Roman"/>
          <w:sz w:val="18"/>
          <w:szCs w:val="18"/>
          <w:color w:val="auto"/>
        </w:rPr>
        <w:t>Coeptis will require additional capital to complete the development and potential commercialization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treatments and asset acquisitions. No assurance can be given that such additional capital will be available on terms acceptable to Coeptis, if at all. If Coeptis is unable to raise capital when needed or on acceptable terms, Coeptis could be forced to delay, reduce or eliminate its planned development programs or any future commercialization efforts.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9" w:name="page80"/>
    <w:bookmarkEnd w:id="79"/>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consideration to be paid for the Business Combination, the Coeptis Board took into account the consideration to be paid to Coeptis. The valuation of Coeptis immediately prior to the execution of the merger agreement was approximately $182 million based the closing price of its common stock on the trading day immediately preceding the date on which the Merger Agreement was signed. Bull Horn worked with JonesTrading and its industry analysts to determine the approximately $175 million purchase price for Coeptis. The Coeptis Board believed that the approximately $175 million purchase price for Coeptis was consistent with market valuations based on closing prices in the timeframe proximate to the signing. The Coeptis Board also reviewed the Vantage Point Opinion that supported the amount of the consideration to be paid for Coeptis.</w:t>
      </w:r>
    </w:p>
    <w:p>
      <w:pPr>
        <w:spacing w:after="0" w:line="187"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The Coeptis Board concluded that the potential benefits that it expected for Coeptis and its stockholders to achieve as a result of the Business Combination outweighed the potentially negative factors associated with the Business Combination. Accordingly, the Coeptis Board determined that the Merger Agreement and the Business Combination, were advisable, fair to, and in the best interests of, Coeptis and its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Fairness Opinion of Vantage Point</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Bull Horn Board retained Vantage Point to render a fairness opinion to the Bull Horn Board with respect to the Business Combination. On April 18, 2022, Vantage Point delivered its opinion to the Bull Horn Board in writing (the “Opinion”) and also confirmed the Opinion orally on such date, that, as of the date of the Opinion, (i) the Business Combination was fair, from a financial point of view, to Bull Horn and (ii) Coeptis had a fair market value equal to at least 80 percent of the balance of funds in Bull Horn’s trust account (excluding deferred underwriting commission and taxes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Treatment of the Business Combination</w:t>
      </w:r>
    </w:p>
    <w:p>
      <w:pPr>
        <w:spacing w:after="0" w:line="229"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Coeptis and Bull Horn intend for the Business Combination to qualify as a “reorganization” within the meaning of Section 368(a) of the Code. Coeptis and Bull Horn each will use its reasonable best efforts to cause the Business Combination to qualify, and agree not to, and not to permit or cause any affiliates or any subsidiaries of Coeptis or Bull Horn to, take any action that could reasonably be expected to prevent or impede the Business Combination from qualifying, as a “reorganization” within the meaning of Section 368(a)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 of the Business Combination</w:t>
      </w:r>
    </w:p>
    <w:p>
      <w:pPr>
        <w:spacing w:after="0" w:line="229"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The following is a description of the material U.S. federal income tax consequences of the Business Combination that are applicable to U.S. Holders (as defined below) of Coeptis common stock who exchange shares of Coeptis common stock for shares of Bull Horn common stock in the Business Combination and hold their shares as capital assets. This discussion does not address all of the U.S. federal income tax consequences that may be relevant to particular U.S. Holders in light of their particular circumstances. This discussion does not address special tax rules applicable to particular U.S. Holders, such as: dealers in securities or foreign currencies; banks; insurance companies; financial institutions; mutual funds; real estate investment trusts; regulated investment companies; tax-exempt organizations; pass-through entities such as partnerships, S corporations, disregarded entities for federal income tax purposes and limited liability companies (and investors therein); persons who are not U.S. Holders; stockholders who are subject to the alternative minimum tax provisions of the Code; persons who hold their shares as part of a hedge, wash sale, synthetic security, conversion transaction, or other integrated transaction; persons required to accelerate the recognition of any item of gross income with respect to stock as a result of such income being recognized on an applicable financial statement; persons that have a functional currency other than the U.S. dollar; traders in securities who elect to apply a mark-to-market method of accounting; persons who hold shares of Coeptis common stock that may constitute “qualified small business stock” under Section 1202 of the Code or as “Section 1244 stock” for purposes of Section 1244 of the Code; persons who acquired their shares of stock in a transaction subject to the gain rollover provisions of Section 1045 of the Code; persons who acquired their shares of stock pursuant to the exercise of options or otherwise as compensation or through a tax-qualified retirement plan or through the exercise of a warrant or conversion rights under convertible instruments; and certain expatriates or former citizens or long-term residents of the United States. Coeptis stockholders subject to special tax rules that are described in this paragraph are urged to consult their own tax advisors regarding the consequences to them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80" w:name="page81"/>
    <w:bookmarkEnd w:id="80"/>
    <w:p>
      <w:pPr>
        <w:ind w:firstLine="432"/>
        <w:spacing w:after="0" w:line="261" w:lineRule="auto"/>
        <w:rPr>
          <w:sz w:val="20"/>
          <w:szCs w:val="20"/>
          <w:color w:val="auto"/>
        </w:rPr>
      </w:pPr>
      <w:r>
        <w:rPr>
          <w:rFonts w:ascii="Times New Roman" w:cs="Times New Roman" w:eastAsia="Times New Roman" w:hAnsi="Times New Roman"/>
          <w:sz w:val="18"/>
          <w:szCs w:val="18"/>
          <w:color w:val="auto"/>
        </w:rPr>
        <w:t>If an entity that is treated as a partnership for U.S. federal income tax purposes holds Coeptis common stock, the U.S. federal income tax treatment of a partner in the partnership will generally depend upon the status of the partner, the activities of the partnership and certain determinations made at the partner level. Partners of partnerships or other pass-through entities holding shares of Coeptis common stock should consult their tax advisors regarding the tax consequences of the Business Combination.</w:t>
      </w:r>
    </w:p>
    <w:p>
      <w:pPr>
        <w:spacing w:after="0" w:line="180"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the tax consequences to Coeptis stockholders under any state, local or foreign tax laws or the U.S. federal estate or gift, Medicare net investment income, or alternative minimum tax provisions of the Code. It also does not discuss the tax consequences of transaction occurring prior to, concurrently with or after the Business Combination (whether or not such transactions are undertaken in connection with the Business Combination), including, without limitation, the Domestication, or the exercise of stock options or warrants in anticipation of the Business Combination. No ruling from the Internal Revenue Service, or the IRS, has been or will be requested in connection with the Business Combination and Coeptis stockholders should be aware that the IRS could adopt a position which could be sustained by a court contrary to that set forth in this discussion.</w:t>
      </w:r>
    </w:p>
    <w:p>
      <w:pPr>
        <w:spacing w:after="0" w:line="187"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This discussion is based upon current provisions of the Code, existing and proposed U.S. Treasury Regulations promulgated thereunder, and current administrative rulings and court decisions, all as in effect as of the date hereof and all of which are subject to differing interpretations or change. Any change, which may be retroactive, could alter the tax consequences to Coeptis stockholders as described in this summary.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of “U.S. Holder”</w:t>
      </w:r>
    </w:p>
    <w:p>
      <w:pPr>
        <w:spacing w:after="0" w:line="229" w:lineRule="exact"/>
        <w:rPr>
          <w:sz w:val="20"/>
          <w:szCs w:val="20"/>
          <w:color w:val="auto"/>
        </w:rPr>
      </w:pPr>
    </w:p>
    <w:p>
      <w:pPr>
        <w:ind w:right="720" w:firstLine="432"/>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Coeptis common stock that is, for United States federal income tax purposes:</w:t>
      </w:r>
    </w:p>
    <w:p>
      <w:pPr>
        <w:spacing w:after="0" w:line="162" w:lineRule="exact"/>
        <w:rPr>
          <w:sz w:val="20"/>
          <w:szCs w:val="20"/>
          <w:color w:val="auto"/>
        </w:rPr>
      </w:pPr>
    </w:p>
    <w:p>
      <w:pPr>
        <w:ind w:left="880" w:hanging="440"/>
        <w:spacing w:after="0"/>
        <w:tabs>
          <w:tab w:leader="none" w:pos="8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880" w:right="20" w:hanging="440"/>
        <w:spacing w:after="0" w:line="258" w:lineRule="auto"/>
        <w:tabs>
          <w:tab w:leader="none" w:pos="8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(i) a court within the United States is able to exercise primary supervision over the administration of such trust, and one or more United States persons (within the meaning of Section 7701(a)(30) of the Code) are authorized or have the authority to control all substantial decisions of such trust, or (ii) the trust has a valid election in effect under applicable Treasury Regulations to be treated as a United States person under applicable U.S. Treasury Regulations; or an estate, the income of which is subject to U.S. federal income tax regardless of its source.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Coeptis Stockholders Who Are U.S. Holders in the Business Combination</w:t>
      </w:r>
    </w:p>
    <w:p>
      <w:pPr>
        <w:spacing w:after="0" w:line="22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Subject to the qualifications and assumptions described in this proxy statement, the Business Combination will qualify as a “reorganization” within the meaning of Section 368(a) of the Code. Accordingly, Coeptis stockholders generally will not recognize gain or loss upon the exchange of their Coeptis stock for Company Common Stock, except to the extent of cash received in lieu of a fractional share of Company Common Stock as described below. A U.S. Holder who receives cash in lieu of a fractional share of Company Common Stock in the Merger will generally recognize capital gain or loss in an amount equal to the difference between the amount of cash received instead of a fractional share and the U.S. Holder’s tax basis allocable to such fractional share. Coeptis stockholders generally will obtain a tax basis in the Company Common Stock they receive in the Business Combination equal to their tax basis in the Coeptis stock exchanged therefor, decreased by the amount of any tax basis allocable to a fractional share for which cash is received. The holding period of the shares of Company Common Stock received by a Coeptis stockholder in the Business Combination will include the holding period of the shares of Coeptis stock surrendered in exchange therefor.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81" w:name="page82"/>
    <w:bookmarkEnd w:id="81"/>
    <w:p>
      <w:pPr>
        <w:ind w:firstLine="432"/>
        <w:spacing w:after="0" w:line="254" w:lineRule="auto"/>
        <w:rPr>
          <w:sz w:val="20"/>
          <w:szCs w:val="20"/>
          <w:color w:val="auto"/>
        </w:rPr>
      </w:pPr>
      <w:r>
        <w:rPr>
          <w:rFonts w:ascii="Times New Roman" w:cs="Times New Roman" w:eastAsia="Times New Roman" w:hAnsi="Times New Roman"/>
          <w:sz w:val="18"/>
          <w:szCs w:val="18"/>
          <w:color w:val="auto"/>
        </w:rPr>
        <w:t>We have not sought a ruling from the IRS as to any U.S. federal income tax consequences described herein. The IRS may disagree with the descriptions of U.S. federal income tax consequences contained herein, and its determination may be upheld by a court. Any such determination could subject a U.S. Holder to adverse U.S. federal income tax consequences that would be different than those described herein. If the Business Combination is not treated as a “reorganization” within the meaning of Section 368(a) of the Code, then each U.S. Holder of Coeptis stock generally will be treated as exchanging its Coeptis stock in a fully taxable transaction in exchange for Company Common Stock. Coeptis stockholders will generally recognize capital gain or loss in such exchange equal to the difference between a Coeptis stockholder’s adjusted tax basis in the Coeptis stock surrendered in the Business Combination and the fair market value of the Company Common Stock. Any recognized capital gain or capital loss will be long-term capital gain or capital loss if the U.S. Holder has held the shares of Coeptis stock for more than one year. The deductibility of capital losses is subject to limitations.</w:t>
      </w:r>
    </w:p>
    <w:p>
      <w:pPr>
        <w:spacing w:after="0" w:line="192"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For purposes of the above discussion, Coeptis stockholders who acquired their Coeptis stock at different times or for different prices should consult their tax advisors regarding the manner in which gain or loss should be determined in their specific circumstances.</w:t>
      </w:r>
    </w:p>
    <w:p>
      <w:pPr>
        <w:spacing w:after="0" w:line="162"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Holders of Coeptis stock are urged to consult their tax advisors regarding the U.S. federal income tax consequences of the Business Combination in light of their personal circumstances and the consequences to them under state, local and non-U.S. tax laws and other federal tax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w:t>
      </w:r>
    </w:p>
    <w:p>
      <w:pPr>
        <w:spacing w:after="0" w:line="22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Because the Business Combination is intended to be a “reorganization” within the meaning of Section 368(a) of the Code, each U.S. Holder who receives shares of Company Common Stock in the Business Combination is required to retain permanent records pertaining to the Business Combination,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Additionally, U.S. Holders who owned immediately before the Business Combination at least one percent (by vote or value) of the total outstanding stock of Coeptis are required to attach a statement to their tax returns for the year in which the Business Combination is consummated that contains the information listed in Treasury Regulation Section 1.368-3(b). Such statement must include the U.S. Holder’s tax basis in such holder’s Coeptis stock surrendered in the Business Combination, the fair market value of such stock, the date of the Business Combination and the name and employer identification number of each of Coeptis and Bull Horn. U.S. Holders are urged to consult with their tax advisors to comply with these rules.</w:t>
      </w:r>
    </w:p>
    <w:p>
      <w:pPr>
        <w:spacing w:after="0" w:line="184" w:lineRule="exact"/>
        <w:rPr>
          <w:sz w:val="20"/>
          <w:szCs w:val="20"/>
          <w:color w:val="auto"/>
        </w:rPr>
      </w:pPr>
    </w:p>
    <w:p>
      <w:pPr>
        <w:jc w:val="both"/>
        <w:ind w:right="40"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summary is of a general nature only and is not intended to be, and should not be construed to be, legal, business or tax advice to any particular Coeptis stockholder. This summary does not take into account your particular circumstances and does not address consequences that may be particular to you. Therefore, you should consult your tax advisor regarding the particular consequences of the Business Combination to you. Anticipated Accounting Treatment</w:t>
      </w:r>
    </w:p>
    <w:p>
      <w:pPr>
        <w:spacing w:after="0" w:line="180"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accounted for as a business combination under the scope of the Financial Accounting Standards Board’s Accounting Standards Codification 805, Business Combinations, or ASC 805. Under ASC 805, Coeptis has been determined to be the accounting acquirer. Under ASC 805, the acquiring entity (Coeptis) in a business combination recognizes 100 percent of the acquired assets and assumed liabilities, regardless of the percentage owned, at their estimated fair values as the date of acquisition. Any excess of the purchase price over the fair value of net assets and other identifiable intangible assets acquired is recorded as goodwill. To the extent the fair value of net assets acquired, including other identifiable assets, exceeds the purchase price, a bargain purchase gain is recognized. Assets acquired and liabilities assumed from contingencies must also be recognized at fair value, if the fair value can be determined during the measurement period. Results of operations of an acquired business are included in the statement of income (loss) from the date of acquisition. Acquisition-related costs, including conversion and restructuring charges,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Business Combination and the transactions contemplated by the Merger Agreement are not subject to any additional federal or state regulatory requirement or approval, (i) except for filings with the British Virgin Islands and Delaware necessary to effectuate the Domestication of Bull Horn, (ii) the Business Combination and filings required of solicitation materials pursuant to Rule 14a-12 of the Exchange Act and (iii) filings required under the HSR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225" w:lineRule="exact"/>
        <w:rPr>
          <w:sz w:val="20"/>
          <w:szCs w:val="20"/>
          <w:color w:val="auto"/>
        </w:rPr>
      </w:pPr>
    </w:p>
    <w:p>
      <w:pPr>
        <w:ind w:left="440" w:right="340" w:firstLine="432"/>
        <w:spacing w:after="0" w:line="261" w:lineRule="auto"/>
        <w:rPr>
          <w:sz w:val="20"/>
          <w:szCs w:val="20"/>
          <w:color w:val="auto"/>
        </w:rPr>
      </w:pPr>
      <w:r>
        <w:rPr>
          <w:rFonts w:ascii="Times New Roman" w:cs="Times New Roman" w:eastAsia="Times New Roman" w:hAnsi="Times New Roman"/>
          <w:sz w:val="18"/>
          <w:szCs w:val="18"/>
          <w:color w:val="auto"/>
        </w:rPr>
        <w:t>“It is resolved that Coeptis’ entry into the Agreement and Plan of Merger dated effective as of April 18, 2022 (as amended or supplemented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Bull Horn, Merger Sub, and Coeptis, the consummation of the transactions contemplated by the Merger Agreement, including the receipt of the merger consideration thereunder, and the performance by Coeptis of its obligations thereunder thereby be ratified, approved, adopted and confirmed in all respects.”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with Respect to the Business Combination Proposal</w:t>
      </w:r>
    </w:p>
    <w:p>
      <w:pPr>
        <w:spacing w:after="0" w:line="229"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approval of the Business Combination Proposal will require the affirmative vote of the holders of a majority of the common stock of Coeptis (including the Series B Stock on an as converted basis) issued and outstanding on the Record Date and entitled to vote on the Proposals to be considered at the Stockholders Meeting. If the Business Combination Proposal fails to receive the required shareholder approval, the Business Combination will not be completed. As of the Record Date, such shareholders beneficially own 51,207,163 shares, which includes 43,207,163 shares of issued common stock and 8,000,000 unissued shares that underlie 8,000 issued shares of our Series B Convertible Preferred Stock convertible within 60 days of the date of this proxy statement.</w:t>
      </w:r>
    </w:p>
    <w:p>
      <w:pPr>
        <w:spacing w:after="0" w:line="187"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Simultaneously with the execution of the Merger Agreement, certain Coeptis stockholders have entered into voting and support agreements (the “</w:t>
      </w:r>
      <w:r>
        <w:rPr>
          <w:rFonts w:ascii="Times New Roman" w:cs="Times New Roman" w:eastAsia="Times New Roman" w:hAnsi="Times New Roman"/>
          <w:sz w:val="18"/>
          <w:szCs w:val="18"/>
          <w:b w:val="1"/>
          <w:bCs w:val="1"/>
          <w:color w:val="auto"/>
        </w:rPr>
        <w:t>Voting Agreements</w:t>
      </w:r>
      <w:r>
        <w:rPr>
          <w:rFonts w:ascii="Times New Roman" w:cs="Times New Roman" w:eastAsia="Times New Roman" w:hAnsi="Times New Roman"/>
          <w:sz w:val="18"/>
          <w:szCs w:val="18"/>
          <w:color w:val="auto"/>
        </w:rPr>
        <w:t xml:space="preserve">”) with Bull Horn and Coeptis, as set forth within </w:t>
      </w:r>
      <w:r>
        <w:rPr>
          <w:rFonts w:ascii="Times New Roman" w:cs="Times New Roman" w:eastAsia="Times New Roman" w:hAnsi="Times New Roman"/>
          <w:sz w:val="18"/>
          <w:szCs w:val="18"/>
          <w:u w:val="single" w:color="auto"/>
          <w:color w:val="0000EE"/>
        </w:rPr>
        <w:t>Annex A</w:t>
      </w:r>
      <w:r>
        <w:rPr>
          <w:rFonts w:ascii="Times New Roman" w:cs="Times New Roman" w:eastAsia="Times New Roman" w:hAnsi="Times New Roman"/>
          <w:sz w:val="18"/>
          <w:szCs w:val="18"/>
          <w:color w:val="auto"/>
        </w:rPr>
        <w:t>. Under the Voting Agreements, the Coeptis stockholder party thereto agreed to vote all of its shares of Coeptis stock in favor of the Merger Agreement and related transactions and to otherwise take certain other actions in support of the Merger Agreement and related transactions and the other matters submitted to Coeptis stockholders for their approval, and to provide a proxy to Bull Horn to vote such Coeptis Stock accordingly. The Voting Agreements prevent transfers of the Coeptis stock held by the applicable Coeptis stockholder between the date of the Voting Agreement and the date of the Closing, except for (i) certain permitted transfers where the recipient also agrees to comply with the Voting Agreement and (ii) two Coeptis stockholders who were each permitted to transfer up to 300,000 shares of Coeptis common stock in open market transactions prior to the Closing.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Coeptis Board with Respect to the Business Combination Proposal</w:t>
      </w:r>
    </w:p>
    <w:p>
      <w:pPr>
        <w:spacing w:after="0" w:line="225" w:lineRule="exact"/>
        <w:rPr>
          <w:sz w:val="20"/>
          <w:szCs w:val="20"/>
          <w:color w:val="auto"/>
        </w:rPr>
      </w:pPr>
    </w:p>
    <w:p>
      <w:pPr>
        <w:jc w:val="center"/>
        <w:ind w:left="340"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COEPTIS BOARD UNANIMOUSLY RECOMMENDS THAT THE COEPTIS STOCKHOLDERS VOTE “FOR” THE APPROVAL OF THE BUSINESS COMBINATION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3" w:name="page84"/>
    <w:bookmarkEnd w:id="8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2: THE ADJOURNMENT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At the Stockholders Meeting, Coeptis will ask its stockholders to consider and vote upon a proposal to adjourn the special meeting to a later date or dates if necessary or appropriate to solicit additional proxies if there are insufficient votes to approve the Business Combination at the time of the special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If the Adjournment Proposal is not approved by Coeptis’ stockholders, the Coeptis Board may not be able to adjourn the Stockholders Meeting to a later date, if necessary, to permit further solicitation and vote of proxies if it is determined by Coeptis that more time is necessary or appropriate to approve the Business Combination Proposal at the Stockholders Meeting. It is important for you to note that in the event that the Business Combination Proposal does not receive the requisite vote for approval, then we may not be able to complete the Business Combination. If Bull Horn does not complete the Business Combination and fails to complete an initial business combination by November 3, 2022, unless Bull Horn submits and its shareholders approve an extension of such date, it will be required to dissolve and liquidate the trust account by returning the then remaining funds in such account to the public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225"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“It is resolved that the proposal to require the Board to approve the adjournment of the Stockholders Meeting to a later date or dates, if necessary to permit further solicitation and vote of proxies if it is determined by Coeptis that more time is necessary or appropriate to approve one or more Proposals at the Stockholders Meeting be approved and adopted in all respects.”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with Respect to the Adjournment Proposal</w:t>
      </w:r>
    </w:p>
    <w:p>
      <w:pPr>
        <w:spacing w:after="0" w:line="229"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Adjournment Proposal, if presented, will require the affirmative vote of the holders of a majority of the common stock of Coeptis (including the Series B Stock on an as converted basis) issued and outstanding on the Record Date and entitled to vote on the Proposals to be considered at the Stockholders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Adjournment Proposal will not be submitted if the Business Combination Proposal is approved.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Coeptis Board with respect to the Adjournment Proposal.</w:t>
      </w:r>
    </w:p>
    <w:p>
      <w:pPr>
        <w:spacing w:after="0" w:line="225" w:lineRule="exact"/>
        <w:rPr>
          <w:sz w:val="20"/>
          <w:szCs w:val="20"/>
          <w:color w:val="auto"/>
        </w:rPr>
      </w:pPr>
    </w:p>
    <w:p>
      <w:pPr>
        <w:jc w:val="center"/>
        <w:ind w:left="400"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COEPTIS BOARD UNANIMOUSLY RECOMMENDS THAT COEPTIS STOCKHOLDERS VOTE “FOR” THE APPROVAL OF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92" w:right="4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COEPTIS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References in this section to “Coeptis,” “we” and “our” refer to “Coeptis Therapeutics, Inc.” and its consolidated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22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was originally incorporated in the State of Colorado in 1996 under the name Nelx Marketing Inc., and then changed its name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Mind 2 Market, Inc. (in 1996), then to Health Partnership, Inc. (in 2005) and then to Naerodynamics, Inc. (in 2008). In January 2020, Coeptis redomiciled to the State of Delaware and changed its then corporate name to NDYN Merger Corp. In February 2020, NDYN Merger Corp. enacted a Holding Company Reorganization pursuant to Section 251(g) of the DGCL and, in connection therewith, changed its corporate name to Vinings Holdings, Inc. Effective July 12, 2021, the company’s name changed to “Coeptis Therapeutics, Inc.”</w:t>
      </w:r>
    </w:p>
    <w:p>
      <w:pPr>
        <w:spacing w:after="0" w:line="183" w:lineRule="exact"/>
        <w:rPr>
          <w:sz w:val="20"/>
          <w:szCs w:val="20"/>
          <w:color w:val="auto"/>
        </w:rPr>
      </w:pPr>
    </w:p>
    <w:p>
      <w:pPr>
        <w:jc w:val="both"/>
        <w:ind w:right="400" w:firstLine="432"/>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The 2021 Merger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February 12, 2021, Acquisition Corp., a wholly-owned subsidiary of Coeptis, merged with and into Coeptis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Pharmaceuticals, with Coeptis Pharmaceuticals as the surviving corporation of the 2021 Merger. As a result of the 2021 Merger, Coeptis acquired the business of Coeptis Pharmaceuticals, which now continues its existing business operations as Coeptis’ wholly-owned subsidiary.</w:t>
      </w:r>
    </w:p>
    <w:p>
      <w:pPr>
        <w:spacing w:after="0" w:line="173" w:lineRule="exact"/>
        <w:rPr>
          <w:sz w:val="20"/>
          <w:szCs w:val="20"/>
          <w:color w:val="auto"/>
        </w:rPr>
      </w:pPr>
    </w:p>
    <w:p>
      <w:pPr>
        <w:ind w:right="200" w:firstLine="432"/>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About Coeptis’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wholly-owned subsidiary, Coeptis Pharmaceuticals, was formed in November 2018, and its sole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Pharmaceuticals, LLC, was formed in July 2017. Through Coeptis’ subsidiaries, it focuses on the development and/or acquisition of pharmaceutical products and technologies which offer improvements to current therapies, thereby improving patient outcomes.</w:t>
      </w:r>
    </w:p>
    <w:p>
      <w:pPr>
        <w:spacing w:after="0" w:line="175"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Coeptis’ current business model is designed around furthering the development of its current product portfolio. Coeptis is continually exploring partnership opportunities with companies that have novel therapies in various stages of development or companies with technologies that improve the way that drugs are delivered to patients. Coeptis seeks the best strategic relationships, which relationships could include in-license agreements, out-license agreements, co-development arrangements and other strategic partnerships in new and exciting therapeutic areas such as auto-immune disease and oncology.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for Product Development — Research and Development</w:t>
      </w:r>
    </w:p>
    <w:p>
      <w:pPr>
        <w:spacing w:after="0" w:line="225"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Vy-Gen Bio,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May 2021, we entered into two exclusive option agreements (the “</w:t>
      </w:r>
      <w:r>
        <w:rPr>
          <w:rFonts w:ascii="Times New Roman" w:cs="Times New Roman" w:eastAsia="Times New Roman" w:hAnsi="Times New Roman"/>
          <w:sz w:val="18"/>
          <w:szCs w:val="18"/>
          <w:b w:val="1"/>
          <w:bCs w:val="1"/>
          <w:color w:val="auto"/>
        </w:rPr>
        <w:t>CD38 Agreements</w:t>
      </w:r>
      <w:r>
        <w:rPr>
          <w:rFonts w:ascii="Times New Roman" w:cs="Times New Roman" w:eastAsia="Times New Roman" w:hAnsi="Times New Roman"/>
          <w:sz w:val="18"/>
          <w:szCs w:val="18"/>
          <w:color w:val="auto"/>
        </w:rPr>
        <w:t>”) relating to separate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below) designed to improve the treatment of CD38-related cancers (e.g., multiple myeloma, chronic lymphocytic leukemia, and acute myeloid leukemia) with VyGen-Bio, Inc. (“</w:t>
      </w:r>
      <w:r>
        <w:rPr>
          <w:rFonts w:ascii="Times New Roman" w:cs="Times New Roman" w:eastAsia="Times New Roman" w:hAnsi="Times New Roman"/>
          <w:sz w:val="18"/>
          <w:szCs w:val="18"/>
          <w:b w:val="1"/>
          <w:bCs w:val="1"/>
          <w:color w:val="auto"/>
        </w:rPr>
        <w:t>Vy-Gen</w:t>
      </w:r>
      <w:r>
        <w:rPr>
          <w:rFonts w:ascii="Times New Roman" w:cs="Times New Roman" w:eastAsia="Times New Roman" w:hAnsi="Times New Roman"/>
          <w:sz w:val="18"/>
          <w:szCs w:val="18"/>
          <w:color w:val="auto"/>
        </w:rPr>
        <w:t>”), a majority-owned subsidiary of Vycellix, Inc., a Tampa, Florida-based private, immune-centric discovery life science company focused on the development of transformational platform technologies to enhance and optimize next-generation cell and gene-based therapies, including T cell and Natural Killer (NK) cell-based cancer therapies. In August 2021, we exercised those two options and acquired a 50% ownership interest in such technologies, with the ownership interest scalable down to 20% under certain circumstances. In December 2021, we completed our purchase of the 50% ownership interest in the CD38-Diagnostic and adjusted the downward adjustment percentage for the CD38-GEAR-NK product candidate to 25%.</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CD38 Agreements relate to two separate Vy-Gen drug product candidates, as follows:</w:t>
      </w:r>
    </w:p>
    <w:p>
      <w:pPr>
        <w:spacing w:after="0" w:line="221" w:lineRule="exact"/>
        <w:rPr>
          <w:sz w:val="20"/>
          <w:szCs w:val="20"/>
          <w:color w:val="auto"/>
        </w:rPr>
      </w:pPr>
    </w:p>
    <w:p>
      <w:pPr>
        <w:ind w:left="880" w:hanging="440"/>
        <w:spacing w:after="0" w:line="257" w:lineRule="auto"/>
        <w:tabs>
          <w:tab w:leader="none" w:pos="8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CD38-GEAR-NK. </w:t>
      </w:r>
      <w:r>
        <w:rPr>
          <w:rFonts w:ascii="Times New Roman" w:cs="Times New Roman" w:eastAsia="Times New Roman" w:hAnsi="Times New Roman"/>
          <w:sz w:val="18"/>
          <w:szCs w:val="18"/>
          <w:color w:val="auto"/>
        </w:rPr>
        <w:t>This Vy-Gen drug product candidate is designed to protect CD38+ NK cells from destruction by anti-CD38 monoclonal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antibodies, or mAbs. CD38-GEAR-NK is an autologous, NK cell-based therapeutic that is derived from a patient’s own cells and gene-edited to enable combination therapy with anti-CD38 mAbs. We believe CD38-GEAR-NK possesses the potential to minimize the risks and side effects from CD38-positive NK cell fratricide. While third party license or collaboration agreements are not required in order for Vy-Gen to develop the product to commercial use, potential strategic relationships will be considered on an ongoing basis as a potential strategy. No licenses or collaborations are currently being actively pursued.</w:t>
      </w:r>
    </w:p>
    <w:p>
      <w:pPr>
        <w:spacing w:after="0" w:line="184" w:lineRule="exact"/>
        <w:rPr>
          <w:rFonts w:ascii="Times New Roman" w:cs="Times New Roman" w:eastAsia="Times New Roman" w:hAnsi="Times New Roman"/>
          <w:sz w:val="18"/>
          <w:szCs w:val="18"/>
          <w:color w:val="auto"/>
        </w:rPr>
      </w:pPr>
    </w:p>
    <w:p>
      <w:pPr>
        <w:ind w:left="880" w:right="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Opportunity. </w:t>
      </w:r>
      <w:r>
        <w:rPr>
          <w:rFonts w:ascii="Times New Roman" w:cs="Times New Roman" w:eastAsia="Times New Roman" w:hAnsi="Times New Roman"/>
          <w:sz w:val="18"/>
          <w:szCs w:val="18"/>
          <w:color w:val="auto"/>
        </w:rPr>
        <w:t>We believe CD38-GEAR-NK could potentially revolutionize how CD38-related cancers are treated, by protecting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CD38+ NK cells from destruction by anti-CD38 mAbs, thereby promoting the opportunity to improve the treatment of CD38-related cancers, including multiple myeloma, chronic lymphocytic leukemia, and acute myeloid leukemia. Multiple myeloma is expected to be the first cancer indication targeted with CD38-GEAR-NK. Our intent is to seek regulatory approval in the 8 major markets comprised of the United States, the UK, Germany, Spain, France, Italy, China, and Japan. The total multiple myeloma market size in these 8 countries was $16.27 billion in 2019 and is expected to increase modestly through 2030, according to DelveInsight.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5" w:name="page86"/>
    <w:bookmarkEnd w:id="85"/>
    <w:p>
      <w:pPr>
        <w:ind w:left="880" w:right="60" w:hanging="440"/>
        <w:spacing w:after="0" w:line="254" w:lineRule="auto"/>
        <w:tabs>
          <w:tab w:leader="none" w:pos="8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CD38-Diagnostic. </w:t>
      </w:r>
      <w:r>
        <w:rPr>
          <w:rFonts w:ascii="Times New Roman" w:cs="Times New Roman" w:eastAsia="Times New Roman" w:hAnsi="Times New Roman"/>
          <w:sz w:val="18"/>
          <w:szCs w:val="18"/>
          <w:color w:val="auto"/>
        </w:rPr>
        <w:t>This Vy-Gen drug product candidate is an in vitro diagnostic tool to analyze if cancer patients might be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candidates for anti-CD38 mAb therapy. CD38-Diagnostic is an in vitro screening tool that is intended to provide the ability to pre-determine which cancer patients are most likely to benefit from targeted anti-CD38 mAb therapies, either as monotherapy or in combination with CD38-GEAR-NK. Our management believes that CD38-Diagnostic also has the potential to develop as a platform technology beyond CD38, including to identify patients likely to benefit for broad range of mAb therapies across myriad indications. CD38-Diagnostic is a discovery-stage product that is advancing towards pre-clinical activities. Vy-Gen is actively engaged in the research and development of CD38-Diagnostic, and through the joint steering committee Coeptis is assessing market opportunities, intellectual property protection and potential regulatory strategy are all areas of focus. No human clinical trials have been conducted for CD38-Diagnostic as the clinical study requirements are not yet defined.</w:t>
      </w:r>
    </w:p>
    <w:p>
      <w:pPr>
        <w:spacing w:after="0" w:line="190" w:lineRule="exact"/>
        <w:rPr>
          <w:rFonts w:ascii="Times New Roman" w:cs="Times New Roman" w:eastAsia="Times New Roman" w:hAnsi="Times New Roman"/>
          <w:sz w:val="18"/>
          <w:szCs w:val="18"/>
          <w:color w:val="auto"/>
        </w:rPr>
      </w:pPr>
    </w:p>
    <w:p>
      <w:pPr>
        <w:ind w:left="88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Opportunity. </w:t>
      </w:r>
      <w:r>
        <w:rPr>
          <w:rFonts w:ascii="Times New Roman" w:cs="Times New Roman" w:eastAsia="Times New Roman" w:hAnsi="Times New Roman"/>
          <w:sz w:val="18"/>
          <w:szCs w:val="18"/>
          <w:color w:val="auto"/>
        </w:rPr>
        <w:t>We believe CD38-Diagnostic provides opportunity to make more cost-effective medical decisions for the treatment of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cell malignancies with high CD38 expression, including multiple myeloma, which may help to avoid unnecessary administration of anti-CD38 therapies. CD38-Diagnostic is anticipated to reduce the number of patients that are subjected to ineffective therapy and to potentially result in significant savings to healthcare systems.</w:t>
      </w:r>
    </w:p>
    <w:p>
      <w:pPr>
        <w:spacing w:after="0" w:line="181" w:lineRule="exact"/>
        <w:rPr>
          <w:rFonts w:ascii="Times New Roman" w:cs="Times New Roman" w:eastAsia="Times New Roman" w:hAnsi="Times New Roman"/>
          <w:sz w:val="18"/>
          <w:szCs w:val="18"/>
          <w:color w:val="auto"/>
        </w:rPr>
      </w:pPr>
    </w:p>
    <w:p>
      <w:pPr>
        <w:ind w:left="880"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CD38-Diagnostic is viewed as a potential companion diagnostic for determining patient suitability and likelihood of positive treatment outcomes for CD38-GEAR-NK and/or CD38 monoclonal antibody therapies.</w:t>
      </w:r>
    </w:p>
    <w:p>
      <w:pPr>
        <w:spacing w:after="0" w:line="160" w:lineRule="exact"/>
        <w:rPr>
          <w:sz w:val="20"/>
          <w:szCs w:val="20"/>
          <w:color w:val="auto"/>
        </w:rPr>
      </w:pPr>
    </w:p>
    <w:p>
      <w:pPr>
        <w:ind w:left="880"/>
        <w:spacing w:after="0" w:line="257" w:lineRule="auto"/>
        <w:rPr>
          <w:sz w:val="20"/>
          <w:szCs w:val="20"/>
          <w:color w:val="auto"/>
        </w:rPr>
      </w:pPr>
      <w:r>
        <w:rPr>
          <w:rFonts w:ascii="Times New Roman" w:cs="Times New Roman" w:eastAsia="Times New Roman" w:hAnsi="Times New Roman"/>
          <w:sz w:val="18"/>
          <w:szCs w:val="18"/>
          <w:i w:val="1"/>
          <w:iCs w:val="1"/>
          <w:color w:val="auto"/>
        </w:rPr>
        <w:t>GEAR-NK Product Overview</w:t>
      </w:r>
      <w:r>
        <w:rPr>
          <w:rFonts w:ascii="Times New Roman" w:cs="Times New Roman" w:eastAsia="Times New Roman" w:hAnsi="Times New Roman"/>
          <w:sz w:val="18"/>
          <w:szCs w:val="18"/>
          <w:color w:val="auto"/>
        </w:rPr>
        <w:t>. GEAR-NK is an autologous, gene-edited, natural killer cell-based therapeutic development platform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allows for modified NK cells to be co-administered with targeted mAbs, which, in the absence of the GEAR-NK, would otherwise be neutralized by mAb therapy. GEAR-NK is a pre-clinical in vitro proof-of-concept product with in vivo evaluations planned for 2023. Vy-Gen is actively engaged in the research and development of GEAR-NK, and through the joint steering committee Coeptis is assessing market opportunities, intellectual property protection and potential regulatory strategy. No human clinical trials have been conducted for GEAR-NK but are planned for 2024.</w:t>
      </w:r>
    </w:p>
    <w:p>
      <w:pPr>
        <w:spacing w:after="0" w:line="184"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In May 2021, Coeptis made initial payments totaling $750,000 under the CD38 Agreements, to acquire the exclusive options to acquire co-development rights with respect to CD38-GEAR-NK and CD38-Diagnostic. On August 15, 2021, Coeptis entered into amendments to each of the CD038 Agreements. In connection with the two amendments, Coeptis delivered to VyGen promissory notes aggregating $3,250,000 with maturity dates of December 31, 2021, and made a cash payment of $1,000,000, upon which cash payment we exercised the two definitive option purchase agreements. In December 2021, we completed our payment obligations to secure our rights to 50% of the net revenue stream related to the CD38-Diagnostic, and also entered into an amendment of the CD038-GEAR-NK promissory note to extend the maturity date to March 31, 2022 (which date was subsequently extended to September 30, 2022) and to increase the scalable downward adjustment percentage for the CD38-GEAR-NK product candidate to 25%. Pursuant to the CD038-GEAR-NK amendment and subsequent extension, if the promissory note is timely paid by September 30, 2022, Coeptis will maintain its rights to 50% of the net revenue stream related to the CD38-GEAR-NK product candidate, and if the CD38-GEAR-NK promissory note is not timely paid by September 30, 2022, Coeptis’ rights with respect to CD38-GEAR-NK will automatically be reduced to 25% and the promissory note will be automatically cancelled and will no longer be due or payable. Details of the two August amendments and the December amendment are summarized in the amendments attached at Exhibits 4.1 and 4.2 to our Current Report on Form 8-K dated August 19, 2021 and Exhibit 4.2 to our Current Report on Form 8-K dated December 27, 2021.</w:t>
      </w:r>
    </w:p>
    <w:p>
      <w:pPr>
        <w:spacing w:after="0" w:line="187"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Vy-Gen relationship and the Company’s rights in respect of the two product candidates described above, in December 2021 the Company and Vy-Gen entered into a co-development and steering committee agreement. The co-development and steering committee agreement provides for the governance and economic agreements between the Company and Vy-Gen related of the development of the two Vy-Gen drug product candidates and the revenue sharing related thereto, including each company having a 50% representation on the steering committee and each company receiving 50% of the net revenues related to the Vy-Gen product candidates (scalable downward to 25% for the CD38-GEAR-NK as described above). Related to the joint development, Coeptis, under the direction of the joint steering committee, is currently assessing market opportunities, intellectual property protection and potential regulatory strategies for the CD38 Assets, and VyGen is overseeing the development activities being conducted through the scientists at Karolinska Institute. Details of the co-development and steering committee agreement are summarized in the agreement attached as Exhibit 4.1 to our Current Report on Form 8-K dated December 27, 2021.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86" w:name="page87"/>
    <w:bookmarkEnd w:id="86"/>
    <w:p>
      <w:pPr>
        <w:ind w:right="120" w:firstLine="432"/>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Statera BioPharma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executed a binding Letter of Intent (LOI) with Statera BioPharma, a clinical stage biopharmaceutical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immunotherapy via its proprietary AIMS platform. The LOI details a collaboration between the two companies for STAT-201, a product in development for Crohn’s disease, including co-development and co-commercialization. Coeptis is to assist Statera BioPharma in its efforts to develop and commercialize STAT-201 in adult and pediatric populations. The LOI reserves for Statera BioPharma overall authority on the STAT-201 program, with support from Coeptis in the areas of clinical trials, development, CMC manufacturing, supply chain, market access, sales and marketing and commercial launch strategy. Coeptis is to receive development fees and commercial milestones under the to-be-completed definitive agreement. In August 2022, Coeptis and Statera mutually agreed to terminate the strategic agreement.</w:t>
      </w:r>
    </w:p>
    <w:p>
      <w:pPr>
        <w:spacing w:after="0" w:line="181" w:lineRule="exact"/>
        <w:rPr>
          <w:sz w:val="20"/>
          <w:szCs w:val="20"/>
          <w:color w:val="auto"/>
        </w:rPr>
      </w:pPr>
    </w:p>
    <w:p>
      <w:pPr>
        <w:ind w:right="60" w:firstLine="432"/>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Vici Health Sciences,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2019, Coeptis entered into a co-development agreement with Vici Health Sciences, LLC (“</w:t>
      </w:r>
      <w:r>
        <w:rPr>
          <w:rFonts w:ascii="Times New Roman" w:cs="Times New Roman" w:eastAsia="Times New Roman" w:hAnsi="Times New Roman"/>
          <w:sz w:val="18"/>
          <w:szCs w:val="18"/>
          <w:b w:val="1"/>
          <w:bCs w:val="1"/>
          <w:color w:val="auto"/>
        </w:rPr>
        <w:t>Vici</w:t>
      </w:r>
      <w:r>
        <w:rPr>
          <w:rFonts w:ascii="Times New Roman" w:cs="Times New Roman" w:eastAsia="Times New Roman" w:hAnsi="Times New Roman"/>
          <w:sz w:val="18"/>
          <w:szCs w:val="18"/>
          <w:color w:val="auto"/>
        </w:rPr>
        <w:t>”). Through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Vici and Coeptis would co-develop, seek FDA approval and share ownership rights to CPT60621, a novel, ready to use, easy to swallow, oral liquid version of an already approved drug used for the treatment of Parkinson’s Disease (PD). As Coeptis continues to direct its operational focus towards the Vy-Gen opportunities previously described, we have recently stopped allocating priority resources to the development of CPT60621. Coeptis and Vici are currently in negotiations in which Vici intends to buy-out most or all of Coeptis’ remaining ownership rights.</w:t>
      </w:r>
    </w:p>
    <w:p>
      <w:pPr>
        <w:spacing w:after="0" w:line="181" w:lineRule="exact"/>
        <w:rPr>
          <w:sz w:val="20"/>
          <w:szCs w:val="20"/>
          <w:color w:val="auto"/>
        </w:rPr>
      </w:pPr>
    </w:p>
    <w:p>
      <w:pPr>
        <w:ind w:right="160" w:firstLine="432"/>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University of Pittsburgh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April 2022, Coeptis entered into an exclusive option agreement with the University of Pittsburgh to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an opportunity to evaluate certain intellectual property and patent rights to the following three CAR-T technologies: (i) mSA2 affinity-enhanced biotin-binding CAR, (ii) universal self-labeling SynNotch and CARs for programable antigen-targeting, and (iii) conditional control of universal CAR-T cells through stimulus-reactive adaptors. Coeptis paid the University of Pittsburgh a non-refundable $5,000 fee for the exclusive option rights to the three CAR-T technologies. As described below, Coeptis has exercised its option and entered into a license agreement with respect to universal self-labeling SynNotch and CARs for programable antigen-targeting. The other two technologies currently remain part of the option agreement.</w:t>
      </w:r>
    </w:p>
    <w:p>
      <w:pPr>
        <w:spacing w:after="0" w:line="182"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CAR-T License</w:t>
      </w:r>
      <w:r>
        <w:rPr>
          <w:rFonts w:ascii="Times New Roman" w:cs="Times New Roman" w:eastAsia="Times New Roman" w:hAnsi="Times New Roman"/>
          <w:sz w:val="18"/>
          <w:szCs w:val="18"/>
          <w:color w:val="auto"/>
        </w:rPr>
        <w:t>: On August 31, 2022, Coeptis entered into an exclusive license agreement with the University of Pittsburgh for certain intellectual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rights related to the universal self-labeling SynNotch and CARs for programable antigen-targeting technology platform. Coeptis paid the University of Pittsburgh a non-refundable fee in the amount of $75,000 for the exclusive patent rights to the licensed technology.</w:t>
      </w:r>
    </w:p>
    <w:p>
      <w:pPr>
        <w:spacing w:after="0" w:line="175"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A key potential benefit that we see in the licensed technology is its potential application in therapeutic treatments that involve solid tumors. While there are currently a number of FDA-approved CAR-T therapies for hematologic malignancies, there are currently no CAR-T therapies marketed that are indicated for the treatment of solid tumors.</w:t>
      </w:r>
    </w:p>
    <w:p>
      <w:pPr>
        <w:spacing w:after="0" w:line="17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Under the terms of the agreement, Coeptis has been assigned the worldwide development and commercialization rights to the licensed technology in the field of human treatment of cancer with antibody or antibody fragments using SNAP-CAR T cell technology, along with (i) an intellectual property portfolio consisting of issued and pending patents and (ii) options regarding future add-on technologies and developments. In consideration of these rights, Coeptis paid an initial license fee of $75,000, and will have annual maintenance fees ranging between $15,000 and $25,000, as well as developmental milestone payments (as defined in the agreement and royalties equal to 3.5% of net sales. Additionally, the agreement contemplates that we will enter into a Sponsored Research Agreement with the University of Pittsburgh within ninety days of the execution of the agreement, with the goal of further researching and optimizing the SNAP-CAR platform.</w:t>
      </w:r>
    </w:p>
    <w:p>
      <w:pPr>
        <w:spacing w:after="0" w:line="185"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The SNAP-CAR Platform</w:t>
      </w:r>
      <w:r>
        <w:rPr>
          <w:rFonts w:ascii="Times New Roman" w:cs="Times New Roman" w:eastAsia="Times New Roman" w:hAnsi="Times New Roman"/>
          <w:sz w:val="18"/>
          <w:szCs w:val="18"/>
          <w:color w:val="auto"/>
        </w:rPr>
        <w:t>: Chimeric antigen receptor (CAR) therapy is a new treatment for cancer in which a patient’s T cells (a type of immune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cell) are genetically engineered to recognize cancer cells to target and destroy them. Cells are extracted from the patient and then genetically engineered to make the CAR and are re-introduced back into the patient. This therapy is revolutionizing the treatment of many blood cancers including B cell leukemias and lymphomas by targeting specific proteins found on these cancers, and there is hope in treating additional cancers including solid tumors by having them recognize new targets. The “SNAP-CAR” CAR T cell therapy platform is being developed to be a universal therapeutic. The SNAP-CAR technology is in the preclinical stage of development at the University of Pittsburgh. Instead of directly binding to a target on the tumor cell, the CAR T cells are co-administered with one or more antibody adaptors that bind to the tumor cells and are fitted with a chemical group that irreversibly connects them to the SNAP-CAR on the therapeutic cells via a covalent bond. A covalent bond is the highest affinity bond possible, and we believe this binding could translate into highly potent therapeutic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4" w:right="359" w:bottom="1440" w:gutter="0" w:footer="0" w:header="0"/>
        </w:sectPr>
      </w:pPr>
    </w:p>
    <w:bookmarkStart w:id="87" w:name="page88"/>
    <w:bookmarkEnd w:id="87"/>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Pre-clinical studies in mice have demonstrated a potential benefit that by targeting solid tumors via antibody adaptor molecules, the SNAP-CAR therapy may be able to provide a highly programmable therapeutic platform, one that we envision could deliver several potential advantages over standard CAR-T treatments, including:</w:t>
      </w:r>
    </w:p>
    <w:p>
      <w:pPr>
        <w:spacing w:after="0" w:line="176" w:lineRule="exact"/>
        <w:rPr>
          <w:sz w:val="20"/>
          <w:szCs w:val="20"/>
          <w:color w:val="auto"/>
        </w:rPr>
      </w:pPr>
    </w:p>
    <w:p>
      <w:pPr>
        <w:ind w:left="880" w:right="200" w:hanging="440"/>
        <w:spacing w:after="0" w:line="266" w:lineRule="auto"/>
        <w:tabs>
          <w:tab w:leader="none" w:pos="8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Potential Toxicity: The therapeutic activity of the SNAP-CAR T cells is being developed to allow controls by way of the antibody dose, which we envision would allow clinicians to mitigate toxicity from over-activity. We also envision that the immune response against cancer may also be boosted in patients administered with additional doses of the tagged tumor-specific antibody; and</w:t>
      </w:r>
    </w:p>
    <w:p>
      <w:pPr>
        <w:spacing w:after="0" w:line="175"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Cancer Relapse: Relapse from CAR T cell therapy often results from the loss or down-regulation of the targeted protein on the cancer. Our research and development will continue the pre-clinical development efforts to date, which focuses in part on the potential avoidance of or reduction in relapses by combining SNAP-CAR T cells with antibodies targeting multiple antigens at once.</w:t>
      </w:r>
    </w:p>
    <w:p>
      <w:pPr>
        <w:spacing w:after="0" w:line="172" w:lineRule="exact"/>
        <w:rPr>
          <w:sz w:val="20"/>
          <w:szCs w:val="20"/>
          <w:color w:val="auto"/>
        </w:rPr>
      </w:pPr>
    </w:p>
    <w:p>
      <w:pPr>
        <w:jc w:val="both"/>
        <w:ind w:right="60"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Market Opportunity</w:t>
      </w:r>
      <w:r>
        <w:rPr>
          <w:rFonts w:ascii="Times New Roman" w:cs="Times New Roman" w:eastAsia="Times New Roman" w:hAnsi="Times New Roman"/>
          <w:sz w:val="18"/>
          <w:szCs w:val="18"/>
          <w:color w:val="auto"/>
        </w:rPr>
        <w:t>: Due to its unique targeting and binding properties, we believe the SNAP-CAR platform could help accelerate the utilization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effectiveness of CAR T cell therapies for the treatment of solid tumors. By way of market size, according to Polaris Market Research, the CAR-T cell therapy market size is expected to reach $20.56 billion by 2029 (from $1.96 billion in 2021), representing a compound annual growth rate (CAGR) of</w:t>
      </w:r>
    </w:p>
    <w:p>
      <w:pPr>
        <w:ind w:right="20"/>
        <w:spacing w:after="0" w:line="253" w:lineRule="auto"/>
        <w:rPr>
          <w:sz w:val="20"/>
          <w:szCs w:val="20"/>
          <w:color w:val="auto"/>
        </w:rPr>
      </w:pPr>
      <w:r>
        <w:rPr>
          <w:rFonts w:ascii="Times New Roman" w:cs="Times New Roman" w:eastAsia="Times New Roman" w:hAnsi="Times New Roman"/>
          <w:sz w:val="18"/>
          <w:szCs w:val="18"/>
          <w:color w:val="auto"/>
        </w:rPr>
        <w:t>31.6% during the forecast period from 2022 to 2029. However, based on the anticipated application of the licensed technology (i.e. initially focusing on solid tumor treatment) we cannot at this time project the market size of our target market until we further develop the licensed technology and settle on the initial target indications and follow-up indications. Additional research and analysis are being conducted which will aid us in the proper identification and selection of the cancer indication(s) we intend to further study. Once the optimal indication(s) are selected and the overall development strategy is further identified, the market opportunity can be further defined.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currently do not have in-house commercial capabilities required to market and distribute FDA-approved products. Therefore, we will be required to partner with firms who are capable of conducting all sales, marketing, distribution, contracting and pricing for our future products. There is assurance that we will be able to secure the services of such a firm or that any such firm will be able to achieve sales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To achieve our goals, Coeptis intends to deploy an aggressive, four-pronged, growth strategy listed below that we believe will help us maximize our success and deleverage some of the risk of finding, solely developing and funding our own products.</w:t>
      </w:r>
    </w:p>
    <w:p>
      <w:pPr>
        <w:spacing w:after="0" w:line="16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Strategic Partnerships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will focus on expanding our existing pipeline through establishing strategic partnerships with companies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interesting products and technologies. We intend to focus on novel, early-stage and preclinical assets in a variety of therapeutic areas, including oncology and autoimmune diseases. In connection with our strategic partnership growth strategy, as discussed elsewhere in this Offering Memorandum, we recently entered into two option purchase agreements regarding a co-development opportunity for two early-stage product candidates, as disclosed in and discussed in our Current Report on Form 8-K that was filed on May 11, 2021.</w:t>
      </w:r>
    </w:p>
    <w:p>
      <w:pPr>
        <w:spacing w:after="0" w:line="183"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Business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will continue to seek to for acquisition or partnering novel products and technologies that we believe will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 outcomes. We will seek to identify companies with products and technologies that are seeking assistance in developing and commercializing these assets. We will assess the commercial market opportunities for all potential products and technologies to determine if there are enough advantages to allow them to be viable, if they are developed.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96" w:right="419" w:bottom="1440" w:gutter="0" w:footer="0" w:header="0"/>
        </w:sectPr>
      </w:pPr>
    </w:p>
    <w:bookmarkStart w:id="88" w:name="page89"/>
    <w:bookmarkEnd w:id="88"/>
    <w:p>
      <w:pPr>
        <w:ind w:right="220" w:firstLine="432"/>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Portfolio Optimization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will continue to evaluate, prioritize, optimize, and make appropriate changes in our pipeline portfolio as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dynamics and/or product opportunities change. For example, it may be a strategic business decision for us to divest certain products and/or agreements to other companies so it can best focus on its core assets.</w:t>
      </w:r>
    </w:p>
    <w:p>
      <w:pPr>
        <w:spacing w:after="0" w:line="173"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Commercial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While not a current key focus of our company, we will continue to analyze opportunities to participate and assist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development activities directly or with strategic partners. Commercial development activities may include, but are not limited to, clinical development, CMC manufacturing, supply chain management, market research, healthcare economics, market access, sales/marketing, and commercial launch strategies.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Currently, Coeptis has five employees, of which four are full-time employees, and one is a part-time employee. Coeptis’ employees are not represented by any labor union or any collective bargaining arrangement with respect to their employment with Coeptis. Coeptis has never experienced any work stoppages or strikes as a result of labor disputes. Coeptis believes that its employee relations are good.</w:t>
      </w:r>
    </w:p>
    <w:p>
      <w:pPr>
        <w:spacing w:after="0" w:line="176"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Certain of Coeptis’ employees have been reporting to work remotely due to the COVID-19 outbreak. Coeptis’ operations or productivity may continue to be impacted throughout the duration of the COVID-19 outbreak and government-mandated 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From time to time, Coeptis may become involved in various lawsuits and legal proceedings, which arise in the ordinary course of business. However, litigation is subject to inherent uncertainties, and an adverse result in these or other matters may arise from time to time that may harm Coeptis’ business. Coeptis is currently not aware of any such legal proceedings or claims that we believe will have a material adverse effect on our business,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4" w:right="37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OF COEPTIS</w:t>
      </w:r>
    </w:p>
    <w:p>
      <w:pPr>
        <w:spacing w:after="0" w:line="20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includes forward-looking statements about our business, financial condition and results of operations, including discussions about management’s expectations for our business. The financial condition, results of operations and cash flows discussed in this Management’s Discussion and Analysis of Financial Condition and Results of Operations are those of Coeptis Therapeutics, Inc. and its consolidated subsidiaries, collectively, the “Company,” “Coeptis,” “we,” “our,” or “us”. These statements represent projections, beliefs, and expectations based on current circumstances and conditions and in light of recent events and trends, and you should not construe these statements either as assurances of performance or as promises of a given course of action. Instead, various known and unknown factors are likely to cause our actual performance and management’s actions to vary, and the results of these variances may be both material and adverse. Accordingly, readers are cautioned not to place undue reliance on these forward-looking statements, which reflect management’s analysis only as of the date hereof. We undertake no obligation to publicly release the results of any revision to these forward-looking statements which may be made to reflect events or circumstances after the date hereof or to reflect the occurrence of unanticipated events.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9"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financial statements and related notes, beginning on page F-2 of this proxy statement.</w:t>
      </w:r>
    </w:p>
    <w:p>
      <w:pPr>
        <w:spacing w:after="0" w:line="16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Our actual results may differ materially from those anticipated in the following discussion, as a result of a variety of risks and uncertainties, including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proxy statement. We assume no obligation to update any of the forward-looking statements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176" w:lineRule="exact"/>
        <w:rPr>
          <w:sz w:val="20"/>
          <w:szCs w:val="20"/>
          <w:color w:val="auto"/>
        </w:rPr>
      </w:pPr>
    </w:p>
    <w:p>
      <w:pPr>
        <w:ind w:left="880" w:right="80" w:hanging="440"/>
        <w:spacing w:after="0" w:line="282" w:lineRule="auto"/>
        <w:tabs>
          <w:tab w:leader="none" w:pos="8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having to obtain non-binding advisory votes on executive compensation or golden parachute arrangements.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if we have more than $1.07 billion in annual revenue, we have more than $700 million in market value of our stock held by non-affiliates, or we issue more than $1 billion of non-convertible debt over a three-year period. We may choose to take advantage of some but not all of these reduced burdens. We have taken advantage of these reduced reporting burdens herein, and the information that we provide may be different than what you might get from other public companies in which you hold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225"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Our company, Coeptis Therapeutics, Inc. (“</w:t>
      </w:r>
      <w:r>
        <w:rPr>
          <w:rFonts w:ascii="Times New Roman" w:cs="Times New Roman" w:eastAsia="Times New Roman" w:hAnsi="Times New Roman"/>
          <w:sz w:val="18"/>
          <w:szCs w:val="18"/>
          <w:b w:val="1"/>
          <w:bCs w:val="1"/>
          <w:color w:val="auto"/>
        </w:rPr>
        <w:t>Coeptis Therapeutics</w:t>
      </w:r>
      <w:r>
        <w:rPr>
          <w:rFonts w:ascii="Times New Roman" w:cs="Times New Roman" w:eastAsia="Times New Roman" w:hAnsi="Times New Roman"/>
          <w:sz w:val="18"/>
          <w:szCs w:val="18"/>
          <w:color w:val="auto"/>
        </w:rPr>
        <w:t>”), is a holding company that conducts its current operations through its wholly-owned subsidiary Coeptis Pharmaceuticals, Inc. (“</w:t>
      </w:r>
      <w:r>
        <w:rPr>
          <w:rFonts w:ascii="Times New Roman" w:cs="Times New Roman" w:eastAsia="Times New Roman" w:hAnsi="Times New Roman"/>
          <w:sz w:val="18"/>
          <w:szCs w:val="18"/>
          <w:b w:val="1"/>
          <w:bCs w:val="1"/>
          <w:color w:val="auto"/>
        </w:rPr>
        <w:t>Coeptis</w:t>
      </w:r>
      <w:r>
        <w:rPr>
          <w:rFonts w:ascii="Times New Roman" w:cs="Times New Roman" w:eastAsia="Times New Roman" w:hAnsi="Times New Roman"/>
          <w:sz w:val="18"/>
          <w:szCs w:val="18"/>
          <w:color w:val="auto"/>
        </w:rPr>
        <w:t>”). We are a pharmaceutical company which owns, acquires, and develops drug products and pharmaceutical technologies which offer improvements to current therapies. Our products and technologies are intended to be commercialized in the US and worldwide markets. Since Coeptis’ inception in 2017, it has acquired and commercialized two drug products for the U S market, which were approved as 505b2 applications. These anti-hypertension products were launched into the US market during 2020 through a marketing partner. At launch, the sales and promotional efforts were significantly impeded by the limitation of the global pandemic and as such, we have since abandoned all activities and ownership pertaining to both products. We also began the development of several ANDA products which we divested in 2019 to a larger generic pharmaceutical drug manufacturer and have moved away from focusing on the commercialization of generic products. In early 2021, we entered into strategic partnerships to co-develop improved therapies for the auto-immune and oncology markets. Following the reverse merger transaction involving us and Coeptis, we continue to focus on identifying and investing resources into innovative products and technologies which we believe will significantly transform Coeptis’ current products and therapies. Coeptis’ management team is led by David Mehalick, Chief Executive Officer and President, Christine Sheehy, Chief Financial Officer and Secretary and Daniel Yerace, Vice President of Operations (each of whom are also directors of Coeptis).</w:t>
      </w:r>
    </w:p>
    <w:p>
      <w:pPr>
        <w:spacing w:after="0" w:line="194"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During 2020 and continuing through 2021, Coeptis faced several operational challenges related to the COVID-19 global pandemic, which we continue to work to overcome. The launch of both 5050b2 products was impacted because of various COVID-19 limitations, most notably field sales personnel were not able to make healthcare provider visits in person; thereby limiting the awareness of the availability of these products. We explored and implemented several non-personal promotion efforts, but given the global limitations and dynamics, it was challenging to achieve expected sales. We have since abandoned all activities and ownership pertaining to both products.</w:t>
      </w:r>
    </w:p>
    <w:p>
      <w:pPr>
        <w:spacing w:after="0" w:line="179"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color w:val="auto"/>
        </w:rPr>
        <w:t>In May 2021, we entered into two exclusive option agreements (the “</w:t>
      </w:r>
      <w:r>
        <w:rPr>
          <w:rFonts w:ascii="Times New Roman" w:cs="Times New Roman" w:eastAsia="Times New Roman" w:hAnsi="Times New Roman"/>
          <w:sz w:val="18"/>
          <w:szCs w:val="18"/>
          <w:b w:val="1"/>
          <w:bCs w:val="1"/>
          <w:color w:val="auto"/>
        </w:rPr>
        <w:t>CD38 Agreements</w:t>
      </w:r>
      <w:r>
        <w:rPr>
          <w:rFonts w:ascii="Times New Roman" w:cs="Times New Roman" w:eastAsia="Times New Roman" w:hAnsi="Times New Roman"/>
          <w:sz w:val="18"/>
          <w:szCs w:val="18"/>
          <w:color w:val="auto"/>
        </w:rPr>
        <w:t>”) relating to separate technologies designed to improve the treatment of CD38-related cancers (e.g., multiple myeloma, chronic lymphocytic leukemia, and acute myeloid leukemia) with VyGen-Bio, Inc. (“</w:t>
      </w:r>
      <w:r>
        <w:rPr>
          <w:rFonts w:ascii="Times New Roman" w:cs="Times New Roman" w:eastAsia="Times New Roman" w:hAnsi="Times New Roman"/>
          <w:sz w:val="18"/>
          <w:szCs w:val="18"/>
          <w:b w:val="1"/>
          <w:bCs w:val="1"/>
          <w:color w:val="auto"/>
        </w:rPr>
        <w:t>Vy-Gen</w:t>
      </w:r>
      <w:r>
        <w:rPr>
          <w:rFonts w:ascii="Times New Roman" w:cs="Times New Roman" w:eastAsia="Times New Roman" w:hAnsi="Times New Roman"/>
          <w:sz w:val="18"/>
          <w:szCs w:val="18"/>
          <w:color w:val="auto"/>
        </w:rPr>
        <w:t>”), a majority-owned subsidiary of Vycellix, Inc., a Tampa, Florida-based private, immuno-centric discovery life science company focused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transformational platform technologies to enhance and optimize next-generation cell and gene-based therapies, including T cell and Natural Killer (NK) cell-based cancer therapies.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CD38 Agreements relate to two separate Vy-Gen drug product candidates, as follows:</w:t>
      </w:r>
    </w:p>
    <w:p>
      <w:pPr>
        <w:spacing w:after="0" w:line="223" w:lineRule="exact"/>
        <w:rPr>
          <w:sz w:val="20"/>
          <w:szCs w:val="20"/>
          <w:color w:val="auto"/>
        </w:rPr>
      </w:pPr>
    </w:p>
    <w:p>
      <w:pPr>
        <w:ind w:right="100" w:firstLine="432"/>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CD38-GEAR-NK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Vy-Gen drug product candidate is designed to protect CD38+ NK cells from destruction by anti-CD38 monoclonal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antibodies, or mAbs. CD38-GEAR-NK is an autologous, NK cell-based therapeutic that is derived from a patient’s own cells and gene-edited to enable combination therapy with anti-CD38 mAbs. While third party license or collaboration agreements are not required in order for Vy-Gen to develop the product to commercial use, potential strategic relationships will be considered on an ongoing basis as a potential strategy. No licenses or collaborations are currently being actively pursued. We believe CD38-GEAR-NK possesses the potential to minimize the risks and side effects from CD38-positive NK cell fratricide.</w:t>
      </w:r>
    </w:p>
    <w:p>
      <w:pPr>
        <w:spacing w:after="0" w:line="182"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 Opportunity. </w:t>
      </w:r>
      <w:r>
        <w:rPr>
          <w:rFonts w:ascii="Times New Roman" w:cs="Times New Roman" w:eastAsia="Times New Roman" w:hAnsi="Times New Roman"/>
          <w:sz w:val="18"/>
          <w:szCs w:val="18"/>
          <w:color w:val="auto"/>
        </w:rPr>
        <w:t>We believe CD38-GEAR-NK could potentially revolutionize how CD38-related cancers are treated, by protecting CD38+ 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cells from destruction by anti-CD38 mAbs, thereby promoting the opportunity to improve the treatment of CD38-related cancers, including multiple myeloma, chronic lymphocytic leukemia, and acute myeloid leukemia.</w:t>
      </w:r>
    </w:p>
    <w:p>
      <w:pPr>
        <w:spacing w:after="0" w:line="175"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Multiple myeloma is expected to be the first cancer indication targeted with CD38-GEAR-NK. Our intent is to seek regulatory approval in the 8 major markets comprised of the United States, the UK, Germany, Spain, France, Italy, China, and Japan. The total multiple myeloma market size in these 8 countries was $16.27 billion in 2019 and is expected to increase modestly through 2030, according to DelveInsight.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ind w:right="140" w:firstLine="432"/>
        <w:spacing w:after="0" w:line="281" w:lineRule="auto"/>
        <w:rPr>
          <w:sz w:val="20"/>
          <w:szCs w:val="20"/>
          <w:color w:val="auto"/>
        </w:rPr>
      </w:pPr>
      <w:r>
        <w:rPr>
          <w:rFonts w:ascii="Times New Roman" w:cs="Times New Roman" w:eastAsia="Times New Roman" w:hAnsi="Times New Roman"/>
          <w:sz w:val="17"/>
          <w:szCs w:val="17"/>
          <w:i w:val="1"/>
          <w:iCs w:val="1"/>
          <w:u w:val="single" w:color="auto"/>
          <w:color w:val="auto"/>
        </w:rPr>
        <w:t>CD38-Diagnostic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Vy-Gen product candidate is an in vitro diagnostic tool to analyze if cancer patients might be appropriate candidates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anti-CD38 mAb therapy. CD38-Diagnostic is an in vitro screening tool that provides the ability to pre-determine which cancer patients are most likely to benefit from targeted anti-CD38 mAb therapies, either as monotherapy or in combination with CD38-GEAR-NK. CD38-Diagnostic also has the potential to develop as a platform technology beyond CD38, to identify patients likely to benefit for broad range of mAb therapies across myriad indications.</w:t>
      </w:r>
    </w:p>
    <w:p>
      <w:pPr>
        <w:spacing w:after="0" w:line="164"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 Opportunity. </w:t>
      </w:r>
      <w:r>
        <w:rPr>
          <w:rFonts w:ascii="Times New Roman" w:cs="Times New Roman" w:eastAsia="Times New Roman" w:hAnsi="Times New Roman"/>
          <w:sz w:val="18"/>
          <w:szCs w:val="18"/>
          <w:color w:val="auto"/>
        </w:rPr>
        <w:t>We believe CD38-Diagnostic provides opportunity to make more cost-effective medical decisions for the treatment of B cell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malignancies with high CD38 expression, including multiple myeloma, which may help to avoid unnecessary administration of anti-CD38 therapies. CD38-Diagnostic could prevent patients from being subjected to ineffective therapy and enable significant savings to healthcare systems.</w:t>
      </w:r>
    </w:p>
    <w:p>
      <w:pPr>
        <w:spacing w:after="0" w:line="175"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CD38-Diagnostic could be offered as a companion diagnostic for determining patient suitability and likelihood of positive treatment outcomes for CD38-GEAR-NK and/or CD38 monoclonal antibody therapies.</w:t>
      </w:r>
    </w:p>
    <w:p>
      <w:pPr>
        <w:spacing w:after="0" w:line="160" w:lineRule="exact"/>
        <w:rPr>
          <w:sz w:val="20"/>
          <w:szCs w:val="20"/>
          <w:color w:val="auto"/>
        </w:rPr>
      </w:pPr>
    </w:p>
    <w:p>
      <w:pPr>
        <w:ind w:right="120" w:firstLine="432"/>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GEAR-NK Product Overview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GEAR-NK is an autologous, gene-edited, natural killer cell-based therapeutic development platform that allows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modified NK cells to be co-administered with targeted mAbs, which, in the absence of the GEAR-NK, would otherwise be neutralized by mAb therapy.</w:t>
      </w:r>
    </w:p>
    <w:p>
      <w:pPr>
        <w:spacing w:after="0" w:line="160"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In May 2021, we made initial payments totaling $750,000 under the CD38 Agreements, to acquire the exclusive options to acquire co-development rights with respect to CD38-GEAR-NK and CD38-Diagnostic. On August 15, 2021, we entered into amendments to each of the CD038 Agreements. In connection with the two amendments, we delivered to VyGen promissory notes aggregating $3,250,000 with maturity dates of December 31, 2021, and made a cash payment of $1,000,000, upon which cash payment we exercised the two definitive option purchase agreements. In December 2021, we completed our payment obligations to secure our rights to 50% of the net revenue stream related to the CD38-Diagnostic, and also entered into an amendment of the CD038-GEAR-NK promissory note to extend the maturity date to March 31, 2022 (which date was subsequently extended to September 30, 2022) and to increase the scalable downward adjustment percentage for the CD38-GEAR-NK product candidate to 25%. Pursuant to the CD038-GEAR-NK amendment, if the promissory note is timely paid by September 30, 2022, Coeptis will maintain its rights to 50% of the net revenue stream related to the CD38-GEAR-NK product candidate, and if the CD38-GEAR-NK promissory note is not timely paid by September 30, 2022, Coeptis’ rights in CD38-GEAR-NK will automatically be reduced to 25% and the promissory note will be automatically cancelled and will no longer be due or payable. Details of the two August amendments and the December amendment are summarized in the amendments attached at Exhibits 4.1 and 4.2 to our Current Report on Form 8-K dated August 19, 2021 and Exhibits 4.2 to our Current Report on Form 8-K dated December 27, 2021.</w:t>
      </w:r>
    </w:p>
    <w:p>
      <w:pPr>
        <w:spacing w:after="0" w:line="190"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Vy-Gen relationship and the Company’s rights in respect of the two product candidates described above, in December 2021 the Company and Vy-Gen entered into a co-development and steering committee agreement. The co-development and steering committee agreement provides for the governance and economic agreements between the Company and Vy-Gen related of the development of the two Vy-Gen drug product candidates and the revenue sharing related thereto, including each company having a 50% representation on the steering committee and each company receiving 50% of the net revenues related to the Vy-Gen product candidates (scalable downward to 25% for the CD38-GEAR-NK as described above). Related to the joint development, Coeptis, under the direction of the joint steering committee, is currently assessing market opportunities, intellectual property protection and potential regulatory strategies for the CD38 Assets, and VyGen is overseeing the development activities being conducted through the scientists at Karolinska Institute. Details of the co-development and steering committee agreement are summarized in the agreement attached as Exhibit 4.1 to our Current Report on Form 8-K dated December 27, 2021.</w:t>
      </w:r>
    </w:p>
    <w:p>
      <w:pPr>
        <w:spacing w:after="0" w:line="186"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Statera BioPharma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executed an LOI with Statera BioPharma, a clinical stage biopharmaceutical company developing immunotherapy via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proprietary AIMS platform. The LOI details a collaboration between the two companies for STAT-201, a product in development for Crohn’s disease, including co-development and co-commercialization. Coeptis is to assist Statera BioPharma in its efforts to develop and commercialize STAT-201 in adult and pediatric populations. The LOI reserves for Statera BioPharma overall authority on the STAT-201 program, with support from Coeptis in the areas of clinical trials, development, CMC manufacturing, supply chain, market access, sales and marketing and commercial launch strategy. Coeptis is to receive development fees and commercial milestones under the to-be-completed definitive agreement. In August 2022, Coeptis and Stratera mutually agreed to terminate the strategic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92" w:name="page93"/>
    <w:bookmarkEnd w:id="92"/>
    <w:p>
      <w:pPr>
        <w:ind w:right="60" w:firstLine="432"/>
        <w:spacing w:after="0" w:line="286" w:lineRule="auto"/>
        <w:rPr>
          <w:sz w:val="20"/>
          <w:szCs w:val="20"/>
          <w:color w:val="auto"/>
        </w:rPr>
      </w:pPr>
      <w:r>
        <w:rPr>
          <w:rFonts w:ascii="Times New Roman" w:cs="Times New Roman" w:eastAsia="Times New Roman" w:hAnsi="Times New Roman"/>
          <w:sz w:val="18"/>
          <w:szCs w:val="18"/>
          <w:i w:val="1"/>
          <w:iCs w:val="1"/>
          <w:u w:val="single" w:color="auto"/>
          <w:color w:val="auto"/>
        </w:rPr>
        <w:t>Vici Health Sciences,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partnership with Vici Health Sciences, LLC (“</w:t>
      </w:r>
      <w:r>
        <w:rPr>
          <w:rFonts w:ascii="Times New Roman" w:cs="Times New Roman" w:eastAsia="Times New Roman" w:hAnsi="Times New Roman"/>
          <w:sz w:val="18"/>
          <w:szCs w:val="18"/>
          <w:b w:val="1"/>
          <w:bCs w:val="1"/>
          <w:color w:val="auto"/>
        </w:rPr>
        <w:t>Vici</w:t>
      </w:r>
      <w:r>
        <w:rPr>
          <w:rFonts w:ascii="Times New Roman" w:cs="Times New Roman" w:eastAsia="Times New Roman" w:hAnsi="Times New Roman"/>
          <w:sz w:val="18"/>
          <w:szCs w:val="18"/>
          <w:color w:val="auto"/>
        </w:rPr>
        <w:t>”), we are co-developing a drug product, CPT60621 — a focus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Parkinson’s Disease. Through this partnership, Vici and Coeptis would co-develop, seek FDA approval and share ownership rights to CPT60621.</w:t>
      </w:r>
    </w:p>
    <w:p>
      <w:pPr>
        <w:spacing w:after="0" w:line="157"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CPT60621 — a focus on Parkinson’s Disease. </w:t>
      </w:r>
      <w:r>
        <w:rPr>
          <w:rFonts w:ascii="Times New Roman" w:cs="Times New Roman" w:eastAsia="Times New Roman" w:hAnsi="Times New Roman"/>
          <w:sz w:val="18"/>
          <w:szCs w:val="18"/>
          <w:color w:val="auto"/>
        </w:rPr>
        <w:t>CPT60621 is a novel, ready to use, easy to swallow, oral liquid version of an already approved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for the treatment of Parkinson’s Disease (PD). The currently approved dosage form is only available as an oral solid tablet which can be difficult to swallow for some PD patients. Per Symphony Health data, an estimated 555,000 prescriptions are dispensed per year for the oral solid tablet version alone.</w:t>
      </w:r>
    </w:p>
    <w:p>
      <w:pPr>
        <w:spacing w:after="0" w:line="175"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PD affected nearly 1,000,000 people in the U.S. in 2020, and nearly 10,000,000 people worldwide. Experts also predict that the PD affected rate is expected to increase at a rate of 2.2% per year for the next 10 years. The direct medical cost to treat PD is estimated to be over $25 billion per year, in which $4.1 billion of that is in medication cost alone.</w:t>
      </w:r>
    </w:p>
    <w:p>
      <w:pPr>
        <w:spacing w:after="0" w:line="17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Typical PD symptoms include thinking difficulties, uncontrolled shaking and tremors, loss of automatic movements, rigidity, and eating, speaking, and swallowing difficulties. During the course of their disease, nearly 80% of PD patients will develop a condition known as dysphagia which is defined as difficulty or discomfort in swallowing. Oral liquid dosage forms are easier to swallow than oral solid dosage forms. PD patients who suffer from dysphagia often must crush and dissolve tablets in juice in order to consume their medication. In more extreme cases, feeding tubes are utilized. This is costly to the healthcare system and is simply impractical.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CPT60621 can be administered to the patient using an easy-to-use oral syringe, eliminating time consuming, costly, and uncontrolled tablet crushing.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novel dosage form, if approved, we believe will fulfill a market need and provide a beneficial treatment option for many PD patients.</w:t>
      </w:r>
    </w:p>
    <w:p>
      <w:pPr>
        <w:spacing w:after="0" w:line="207"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As we continue to direct our operational focus towards the Vy-Gen opportunities described elsewhere herein, we have recently shifted away from allocating priority resources to CPT60621.</w:t>
      </w:r>
    </w:p>
    <w:p>
      <w:pPr>
        <w:spacing w:after="0" w:line="162"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We expect to generate revenue from product sales and technology licensing. We cannot be certain of the timing of this revenue and will likely need funding to support continuing operations and support our growth strategy. We may have to finance operations by offering any combination of equity offerings, debt financing, collaborations, strategic alliances, or other licensing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 General</w:t>
      </w:r>
    </w:p>
    <w:p>
      <w:pPr>
        <w:spacing w:after="0" w:line="225"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date, we have generated minimal revenue mostly from consulting arrangements and product sales. Due to the COVID-19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pandemic and the resulting market dynamics, it is uncertain if the current marketed products can generate sufficient sales to cover expenses. If our strategic business discussions progress to agreements, we expect to generate additional revenue from collaboration partners.</w:t>
      </w:r>
    </w:p>
    <w:p>
      <w:pPr>
        <w:spacing w:after="0" w:line="173" w:lineRule="exact"/>
        <w:rPr>
          <w:sz w:val="20"/>
          <w:szCs w:val="20"/>
          <w:color w:val="auto"/>
        </w:rPr>
      </w:pPr>
    </w:p>
    <w:p>
      <w:pPr>
        <w:ind w:right="340" w:firstLine="432"/>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and administrative expenses consist primarily of salaries and related costs for personnel and professional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services related to regulatory, pharmacovigilance, quality, legal, and business development. We expect that our general and administrative expenses will increase in the future as we increase our headcount to support the business growth. We also anticipate that we will incur increased accounting, audit, legal, regulatory, compliance, insurance, and investor relation expenses associated with operating as a public company.</w:t>
      </w:r>
    </w:p>
    <w:p>
      <w:pPr>
        <w:spacing w:after="0" w:line="180" w:lineRule="exact"/>
        <w:rPr>
          <w:sz w:val="20"/>
          <w:szCs w:val="20"/>
          <w:color w:val="auto"/>
        </w:rPr>
      </w:pPr>
    </w:p>
    <w:p>
      <w:pPr>
        <w:ind w:right="360" w:firstLine="432"/>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Research and Development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developments costs will continue to be dependent on the strategic business collaborations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will are anticipating in the future. We expect development costs to increase to support our new strategic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Comparison of the twelve months ended December 31, 2021 and December 31, 2020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i w:val="1"/>
          <w:iCs w:val="1"/>
          <w:color w:val="auto"/>
        </w:rPr>
        <w:t>Revenues.</w:t>
      </w:r>
      <w:r>
        <w:rPr>
          <w:sz w:val="20"/>
          <w:szCs w:val="20"/>
          <w:color w:val="auto"/>
        </w:rPr>
        <w:tab/>
      </w:r>
      <w:r>
        <w:rPr>
          <w:rFonts w:ascii="Times New Roman" w:cs="Times New Roman" w:eastAsia="Times New Roman" w:hAnsi="Times New Roman"/>
          <w:sz w:val="18"/>
          <w:szCs w:val="18"/>
          <w:color w:val="auto"/>
        </w:rPr>
        <w:t>Revenues, which were generated from consulting services of $75,000 and $14,561 recorded in the twelve months ended December 31,</w:t>
      </w:r>
    </w:p>
    <w:p>
      <w:pPr>
        <w:spacing w:after="0" w:line="29" w:lineRule="exact"/>
        <w:rPr>
          <w:sz w:val="20"/>
          <w:szCs w:val="20"/>
          <w:color w:val="auto"/>
        </w:rPr>
      </w:pPr>
    </w:p>
    <w:p>
      <w:pPr>
        <w:jc w:val="both"/>
        <w:ind w:right="480"/>
        <w:spacing w:after="0" w:line="253" w:lineRule="auto"/>
        <w:rPr>
          <w:sz w:val="20"/>
          <w:szCs w:val="20"/>
          <w:color w:val="auto"/>
        </w:rPr>
      </w:pPr>
      <w:r>
        <w:rPr>
          <w:rFonts w:ascii="Times New Roman" w:cs="Times New Roman" w:eastAsia="Times New Roman" w:hAnsi="Times New Roman"/>
          <w:sz w:val="18"/>
          <w:szCs w:val="18"/>
          <w:color w:val="auto"/>
        </w:rPr>
        <w:t>2021 and 2020 respectively, continue to be minimal. The Company’s activities primarily include product development, raising capital, and building infrastructure. Management does not expect the Company to generate any significant revenue for at least the next two years, during which time drug development will continue toward the goal of commercializing, through a partnership or otherwise, one or more of the Company’s target products or technologies.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u w:val="single" w:color="auto"/>
          <w:color w:val="auto"/>
        </w:rPr>
        <w:t>Overview</w:t>
      </w:r>
      <w:r>
        <w:rPr>
          <w:rFonts w:ascii="Times New Roman" w:cs="Times New Roman" w:eastAsia="Times New Roman" w:hAnsi="Times New Roman"/>
          <w:sz w:val="18"/>
          <w:szCs w:val="18"/>
          <w:color w:val="auto"/>
        </w:rPr>
        <w:t>. Operating expenses increased from $5,927,947 in the twelve months ended December 31, 2020 to $14,308,066 in the twelve months ended December 31, 2021. The increase is mainly due to higher professional services fees, as well as new requirements for D&amp;O insurance.</w:t>
      </w:r>
    </w:p>
    <w:p>
      <w:pPr>
        <w:spacing w:after="0" w:line="162" w:lineRule="exact"/>
        <w:rPr>
          <w:sz w:val="20"/>
          <w:szCs w:val="20"/>
          <w:color w:val="auto"/>
        </w:rPr>
      </w:pPr>
    </w:p>
    <w:p>
      <w:pPr>
        <w:jc w:val="both"/>
        <w:ind w:right="540" w:firstLine="432"/>
        <w:spacing w:after="0" w:line="261"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For the twelve months ended December 31, 2020 and 2021, general and administrative expenses are included in operating expenses. All costs incurred can be attributed to the planned principal operations of product development, raising capital, and building infrastructure. Management may separate out G&amp;A expenses in 2022, especially if new personnel are hired consistent with the Company’s financial regulatory and filings obligations as a publicly traded entity.</w:t>
      </w:r>
    </w:p>
    <w:p>
      <w:pPr>
        <w:spacing w:after="0" w:line="18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Interest expense was $148,192 for the twelve months ended December 31, 2020 and was $187,133 for the twelve months ended December 31, 2021. Interest was related to notes payable, which are discussed in detail in the Footnotes to the financial statements, incorporated by reference herein. Management expects that in 2022 and thereafter, interest expense will increase, as it may take on debt from insiders or independent third parties to fund operations either while awaiting receipt of the proceeds of equity capital financings or as a stand-alone strategy in addition to raising capital through equity capital financings.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Comparison of the three months ended June 30, 2022 and June 30, 2021</w:t>
      </w:r>
    </w:p>
    <w:p>
      <w:pPr>
        <w:spacing w:after="0" w:line="225"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which were generated from consulting agreements of $0 and $0 recorded in the three months ended June 30,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continue to be minimal. The Company’s activities primarily include product development, raising capital, and building infrastructure. Management does not expect the Company to generate any significant revenue for at least the next two years, during which time drug development will continue toward the goal of commercializing, through a partnership or otherwise, one or more of the Company’s target products or technologies.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u w:val="single" w:color="auto"/>
          <w:color w:val="auto"/>
        </w:rPr>
        <w:t>Overview</w:t>
      </w:r>
      <w:r>
        <w:rPr>
          <w:rFonts w:ascii="Times New Roman" w:cs="Times New Roman" w:eastAsia="Times New Roman" w:hAnsi="Times New Roman"/>
          <w:sz w:val="18"/>
          <w:szCs w:val="18"/>
          <w:color w:val="auto"/>
        </w:rPr>
        <w:t>. Operating expenses increased from $2,624,069 in the three months ended June 30, 2021 to $9,812,854 in the three months ended June 30, 2022. The increase is mainly due to higher professional services fees, as well as warrant expense.</w:t>
      </w:r>
    </w:p>
    <w:p>
      <w:pPr>
        <w:spacing w:after="0" w:line="16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For the three months ended June 30, 2022 and 2021, general and administrative expenses are included in operating expenses. All costs incurred can be attributed to the planned principal operations of product development, raising capital, and building infrastructure. In addition, a substantial amount of General and Administrative Expenses resulted from warrant expense. The warrants issued as of June 30, 2022 were valued using the Black-Scholes option pricing model using the following assumptions: 1) exercise price ranging from $1.00 to $5.00 per share,</w:t>
      </w:r>
    </w:p>
    <w:p>
      <w:pPr>
        <w:spacing w:after="0" w:line="3" w:lineRule="exact"/>
        <w:rPr>
          <w:sz w:val="20"/>
          <w:szCs w:val="20"/>
          <w:color w:val="auto"/>
        </w:rPr>
      </w:pPr>
    </w:p>
    <w:p>
      <w:pPr>
        <w:ind w:right="60" w:firstLine="8"/>
        <w:spacing w:after="0" w:line="253" w:lineRule="auto"/>
        <w:tabs>
          <w:tab w:leader="none" w:pos="1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ranging from $4.80 to $6.00 per share, 3) discount rate ranging from 1.15% to 2.31%, 3) dividend rate of 0%, and 4) a term ranging from 2 to 5 years. General and Administrative Expenses for the three months ended June 30, 2022 was $9,744,977 and was $2,580,971 for the three months ended June 30, 2021. Management may separate out G&amp;A expenses in 2022 and 2021, especially if new personnel are hired consistent with the Company’s financial regulatory and filings obligations as a publicly traded entity.</w:t>
      </w:r>
    </w:p>
    <w:p>
      <w:pPr>
        <w:spacing w:after="0" w:line="18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Interest expense was $63,826 for the three months ended June 30, 2022 and was $43,098 for the three months ended June 30, 2021. Interest was related to notes payable, which are discussed in detail in the Footnotes to the financial statements, incorporated by reference herein. Management expects that in 2022 and thereafter, interest expense will increase, as it may take on debt from insiders or independent third parties to fund operations either while awaiting receipt of the proceeds of equity capital financings or as a stand-alone strategy in addition to raising capital through equity capital financings.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86" w:right="3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Comparison of the six months ended June 30, 2022 and June 30, 2021</w:t>
      </w:r>
    </w:p>
    <w:p>
      <w:pPr>
        <w:spacing w:after="0" w:line="225"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which were generated from consulting agreements of $0 for the six months ended June 30, 2022 and $75,000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2021. The Company’s activities primarily include product development, raising capital, and building infrastructure. Management does not expect the Company to generate any significant revenue for at least the next two years, during which time drug development will continue toward the goal of commercializing, through a partnership or otherwise, one or more of the Company’s target products or technologies.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u w:val="single" w:color="auto"/>
          <w:color w:val="auto"/>
        </w:rPr>
        <w:t>Overview.</w:t>
      </w:r>
      <w:r>
        <w:rPr>
          <w:rFonts w:ascii="Times New Roman" w:cs="Times New Roman" w:eastAsia="Times New Roman" w:hAnsi="Times New Roman"/>
          <w:sz w:val="18"/>
          <w:szCs w:val="18"/>
          <w:color w:val="auto"/>
        </w:rPr>
        <w:t xml:space="preserve"> Operating expenses increased from $4,399,149 in the six months ended June 30, 2021 to $25,583,988 in the six months ended June 30, 2022. The increase is mainly due to higher professional services related to the merger transaction, as well as warrant expense.</w:t>
      </w:r>
    </w:p>
    <w:p>
      <w:pPr>
        <w:spacing w:after="0" w:line="162" w:lineRule="exact"/>
        <w:rPr>
          <w:sz w:val="20"/>
          <w:szCs w:val="20"/>
          <w:color w:val="auto"/>
        </w:rPr>
      </w:pPr>
    </w:p>
    <w:p>
      <w:pPr>
        <w:ind w:right="140" w:firstLine="432"/>
        <w:spacing w:after="0" w:line="270" w:lineRule="auto"/>
        <w:rPr>
          <w:sz w:val="20"/>
          <w:szCs w:val="20"/>
          <w:color w:val="auto"/>
        </w:rPr>
      </w:pPr>
      <w:r>
        <w:rPr>
          <w:rFonts w:ascii="Times New Roman" w:cs="Times New Roman" w:eastAsia="Times New Roman" w:hAnsi="Times New Roman"/>
          <w:sz w:val="17"/>
          <w:szCs w:val="17"/>
          <w:u w:val="single" w:color="auto"/>
          <w:color w:val="auto"/>
        </w:rPr>
        <w:t>General and Administrative Expenses.</w:t>
      </w:r>
      <w:r>
        <w:rPr>
          <w:rFonts w:ascii="Times New Roman" w:cs="Times New Roman" w:eastAsia="Times New Roman" w:hAnsi="Times New Roman"/>
          <w:sz w:val="17"/>
          <w:szCs w:val="17"/>
          <w:color w:val="auto"/>
        </w:rPr>
        <w:t xml:space="preserve"> For the six months ended June 30, 2022 and 2021, general and administrative expenses are included in operating expenses. All costs incurred can be attributed to the planned principal operations of product development, raising capital, and building infrastructure. In addition, a substantial amount of General and Administrative Expenses result from warrant expense. The warrants issued as of June 30, 2022 were valued using the Black-Scholes option pricing model using the following assumptions: 1) exercise price ranging from $1.00 to $5.00 per share,</w:t>
      </w:r>
    </w:p>
    <w:p>
      <w:pPr>
        <w:spacing w:after="0" w:line="3" w:lineRule="exact"/>
        <w:rPr>
          <w:sz w:val="20"/>
          <w:szCs w:val="20"/>
          <w:color w:val="auto"/>
        </w:rPr>
      </w:pPr>
    </w:p>
    <w:p>
      <w:pPr>
        <w:ind w:right="120" w:firstLine="8"/>
        <w:spacing w:after="0" w:line="253" w:lineRule="auto"/>
        <w:tabs>
          <w:tab w:leader="none" w:pos="1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ranging from $4.80 to $6.00 per share, 3) discount rate ranging from 1.15% to 2.31%, 3) dividend rate of 0%, and 4) a term ranging from 2 to 5 years. General and Administrative Expenses for the six months ended June 30, 2022 was $25,460,292 and was $4,318,408 for the six months ended June 30, 2021. Management may separate out G&amp;A expenses in 2022 and 2021, especially if new personnel are hired consistent with the Company’s financial regulatory and filings obligations as a publicly traded entity.</w:t>
      </w:r>
    </w:p>
    <w:p>
      <w:pPr>
        <w:spacing w:after="0" w:line="18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xml:space="preserve"> Interest expense was $119,644 and $77,823 for the six months ended June 30, 2022 and 2021, respectively. Interest was related to notes payable, which are discussed in detail in the Footnotes to the financial statements, incorporated by reference herein. Management expects that in 2022 and thereafter, interest expense will increase, as it may take on debt from insiders or independent third parties to fund operations either while awaiting receipt of the proceeds of equity capital financings or as a stand-alone strategy in addition to raising capital through equity capital financings.</w:t>
      </w:r>
    </w:p>
    <w:p>
      <w:pPr>
        <w:spacing w:after="0" w:line="18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Financial Resources and Liquidity.</w:t>
      </w:r>
      <w:r>
        <w:rPr>
          <w:rFonts w:ascii="Times New Roman" w:cs="Times New Roman" w:eastAsia="Times New Roman" w:hAnsi="Times New Roman"/>
          <w:sz w:val="18"/>
          <w:szCs w:val="18"/>
          <w:color w:val="auto"/>
        </w:rPr>
        <w:t xml:space="preserve"> The Company had limited financial resources during the twelve months ended December 31, 2021 with cash and cash equivalents of $2,179,558. For the period ending June 30, 2022, cash and cash equivalents increased to $2,378,295. During both these time periods, the Company continues to operate a minimal infrastructure in order to maintain its ability to fund operations, keep full focus on all product development targets and to stay current with all of the Company’s scientist consultants, legal counsel, and accountants. During 2022, the Company believes that the ability to raise capital through equity transactions will increase liquidity and enable the execution of management’s operating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At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period ending June 30, 2022, cash and cash equivalents increased to $2,378,295. During both these time periods,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continues to operate a minimal infrastructure in order to maintain its ability to fund operations, keep full focus on all product development targets and to stay current with all of the Company’s scientist consultants, legal counsel, and accountants. During 2022, the Company believes that the ability to raise capital through equity transactions will increase liquidity and enable the execution of management’s operating strategy.</w:t>
      </w:r>
    </w:p>
    <w:p>
      <w:pPr>
        <w:spacing w:after="0" w:line="180" w:lineRule="exact"/>
        <w:rPr>
          <w:sz w:val="20"/>
          <w:szCs w:val="20"/>
          <w:color w:val="auto"/>
        </w:rPr>
      </w:pPr>
    </w:p>
    <w:p>
      <w:pPr>
        <w:ind w:right="380" w:firstLine="432"/>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At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company had limited financial resources during the twelve months ended December 31, 2020, with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of just $202,965 at December 31, 2020. Cash and cash equivalents was increased significantly at December 31, 2021 to $2,179,558, as we raised capital in connection with a private placement that terminated in December 2021. We continue to operate a minimal infrastructure, in order to maintain our ability to fund operations, keep full focus on all product development targets and to stay current with all of our scientist consultants, legal counsel and accountants.</w:t>
      </w:r>
    </w:p>
    <w:p>
      <w:pPr>
        <w:spacing w:after="0" w:line="183"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At December 31,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December 31, 2020, we had cash and cash equivalents of $202,965. On such date we did not possess sufficient working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to fund our planned operations. During the year ended December 31, 2020, we borrowed funds from two of Coeptis’ former shareholders in the aggregate amount of $1 million (which amounts were subsequently converted into equity and are no longer outstanding debt obligations of our company). After deploying these funds, we had accumulated an accounts payable balance of $1,623,840 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COEPTIS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References in this section to “Coeptis,” “we” and “our” refer to “Coeptis Therapeutics, Inc.” and its consolidated subsidiaries.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as of the date of this proxy statement, the names and positions of Coeptis’ executive officers and directors.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tcBorders>
              <w:top w:val="single" w:sz="8" w:color="auto"/>
              <w:bottom w:val="single" w:sz="8" w:color="auto"/>
            </w:tcBorders>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880" w:type="dxa"/>
            <w:vAlign w:val="bottom"/>
            <w:tcBorders>
              <w:top w:val="single" w:sz="8" w:color="auto"/>
              <w:bottom w:val="single" w:sz="8" w:color="auto"/>
            </w:tcBorders>
          </w:tcPr>
          <w:p>
            <w:pPr>
              <w:ind w:left="310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17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53</w:t>
            </w:r>
          </w:p>
        </w:tc>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Chairman of the Board of Directors, Chief Executive Officer and President</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17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55</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Chief Financial Officer and Secretary</w:t>
            </w: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Yerace</w:t>
            </w:r>
          </w:p>
        </w:tc>
        <w:tc>
          <w:tcPr>
            <w:tcW w:w="17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39</w:t>
            </w:r>
          </w:p>
        </w:tc>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 and Vice President of Operations</w:t>
            </w:r>
          </w:p>
        </w:tc>
      </w:tr>
    </w:tbl>
    <w:p>
      <w:pPr>
        <w:spacing w:after="0" w:line="198"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Our Directors serve until the earlier occurrence of the election of his successor at the next meeting of stockholders, death, resignation or removal by the Board of Directors. Officers serve at the discretion of our Board of Directors. There are no family relationships between or among our directors and executive officers.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Certain information regarding the backgrounds of each of our officers and directors is set forth below.</w:t>
      </w:r>
    </w:p>
    <w:p>
      <w:pPr>
        <w:spacing w:after="0" w:line="221"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David Mehalick — Chairman, Chief Executive Officer and President: </w:t>
      </w:r>
      <w:r>
        <w:rPr>
          <w:rFonts w:ascii="Times New Roman" w:cs="Times New Roman" w:eastAsia="Times New Roman" w:hAnsi="Times New Roman"/>
          <w:sz w:val="18"/>
          <w:szCs w:val="18"/>
          <w:color w:val="auto"/>
        </w:rPr>
        <w:t>Mr. Mehalick has over 30 years of experience across a variety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industries including life sciences, technology, financial services, military contracting, entertainment, and consumer products. He has served as our Chief Executive Officer since October 2016. Since March 2004, Mr. Mehalick has served as the Managing Director of Steeltown Consulting Group, a business consulting company through which he advises clients on business organizational and management strategies and solutions. Mr. Mehalick was the Chief Financial Officer of Information Technology Procurement Sourcing, Inc. (“ITPS”), a computer hardware and software company, from March 2017 to September 2017. In January 2019, ITPS filed a petition for voluntary reorganization under Chapter 11 of the U.S. Bankruptcy Code. Mr. Mehalick was the First Vice President at Gruntal and Co. from March 1992 to April 1995 and Senior Vice President at First Union Capital Markets from May 1995 to June 1998 and Senior Vice President at Ferris, Baker Watts, Inc., an investment banking firm from June 1998 to January 2001. Mr. Mehalick attended the University of Pittsburgh. We believe that Mr. Mehalick’s three decades in business management and more than a decade in life sciences qualifies him to serve as a director of the Company.</w:t>
      </w:r>
    </w:p>
    <w:p>
      <w:pPr>
        <w:spacing w:after="0" w:line="185"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Christine Sheehy — Director, Chief Financial Officer and Secretary: </w:t>
      </w:r>
      <w:r>
        <w:rPr>
          <w:rFonts w:ascii="Times New Roman" w:cs="Times New Roman" w:eastAsia="Times New Roman" w:hAnsi="Times New Roman"/>
          <w:sz w:val="18"/>
          <w:szCs w:val="18"/>
          <w:color w:val="auto"/>
        </w:rPr>
        <w:t>Ms. Sheehy has over 25 years of experience in the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including globally commercializing drug products and working in development of targeted therapeutics including cell and gene therapies. Since 2017, she has served as our Director, Chief Financial Officer and Secretary. From 2010 to 2016, Ms. Sheehy served as the Senior Vice-President of Operations for Kadmon Pharmaceuticals, a clinical and commercial phase pharmaceutical company. From 2001 to 2010, she served as the Vice-President of Operation of Three Rivers Pharmaceuticals, a start-up pharmaceutical company which was acquired by Kadmon Pharmaceuticals in 2010. During that time, she launched branded and generic products in the U.S., leading the operational business. Ms. Sheehy earned a bachelor’s degree in accounting from Penn State University.</w:t>
      </w:r>
    </w:p>
    <w:p>
      <w:pPr>
        <w:spacing w:after="0" w:line="183" w:lineRule="exact"/>
        <w:rPr>
          <w:sz w:val="20"/>
          <w:szCs w:val="20"/>
          <w:color w:val="auto"/>
        </w:rPr>
      </w:pPr>
    </w:p>
    <w:p>
      <w:pPr>
        <w:ind w:right="180"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Daniel Yerace — Director and Vice President of Operations: </w:t>
      </w:r>
      <w:r>
        <w:rPr>
          <w:rFonts w:ascii="Times New Roman" w:cs="Times New Roman" w:eastAsia="Times New Roman" w:hAnsi="Times New Roman"/>
          <w:sz w:val="18"/>
          <w:szCs w:val="18"/>
          <w:color w:val="auto"/>
        </w:rPr>
        <w:t>Dan Yerace is a co-founder of Coeptis Pharmaceuticals and serves as the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Operations. Mr. Yerace has over ten years of experience in the pharmaceutical industry and is a key strategist responsible for supply chain management, business development, portfolio management, and corporate strategy. Mr. Yerace has broad operational experience and has held leadership positions in procurement, global supply chain management, operations, and business development for small private firms and fortune 500 multi-national corporations. Prior to joining Coeptis, Mr. Yerace served as Senior Director of Global Supply Chain and Commercial Business Development for Kadmon Pharmaceuticals. Mr. Yerace holds a bachelor’s degree in economics, and a Master of Business Administration from Waynesburg University.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OF COEPTIS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References in this section to “Coeptis,” “we” and “our” refer to “Coeptis Therapeutics, Inc.” and its consolidated subsidiaries.</w:t>
      </w:r>
    </w:p>
    <w:p>
      <w:pPr>
        <w:spacing w:after="0" w:line="227"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there are no annuity, pension or retirement benefits proposed to be paid to Coeptis’ officers, directors or employees, pursuant to any presently existing plan provided by, or contributed to by, Coeptis.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Summary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concerning the compensation awarded, paid to or earned by, our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80" w:type="dxa"/>
            <w:vAlign w:val="bottom"/>
          </w:tcPr>
          <w:p>
            <w:pPr>
              <w:spacing w:after="0"/>
              <w:rPr>
                <w:sz w:val="20"/>
                <w:szCs w:val="20"/>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1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216,500</w:t>
            </w: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174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i w:val="1"/>
                <w:iCs w:val="1"/>
                <w:color w:val="auto"/>
              </w:rPr>
              <w:t>Chairman, CEO and</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1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148,500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7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Daniel Yerace</w:t>
            </w:r>
          </w:p>
        </w:tc>
        <w:tc>
          <w:tcPr>
            <w:tcW w:w="880" w:type="dxa"/>
            <w:vAlign w:val="bottom"/>
            <w:gridSpan w:val="3"/>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w w:val="99"/>
              </w:rPr>
              <w:t>205,500</w:t>
            </w:r>
          </w:p>
        </w:tc>
        <w:tc>
          <w:tcPr>
            <w:tcW w:w="880" w:type="dxa"/>
            <w:vAlign w:val="bottom"/>
            <w:gridSpan w:val="2"/>
          </w:tcPr>
          <w:p>
            <w:pPr>
              <w:ind w:left="5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52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7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Vice President of</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74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Operations</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137,077</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133,500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74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i w:val="1"/>
                <w:iCs w:val="1"/>
                <w:color w:val="auto"/>
              </w:rPr>
              <w:t>Chief Financial</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1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62,307</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Option Awards</w:t>
      </w:r>
    </w:p>
    <w:p>
      <w:pPr>
        <w:spacing w:after="0" w:line="229"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regarding unexercised options to purchase common stock, stock options that have not vested and equity-incentive plan awards outstanding as of the date of this proxy statement for each named executive officer.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vMerge w:val="continue"/>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40" w:type="dxa"/>
            <w:vAlign w:val="bottom"/>
            <w:gridSpan w:val="2"/>
            <w:vMerge w:val="continue"/>
          </w:tcPr>
          <w:p>
            <w:pPr>
              <w:spacing w:after="0"/>
              <w:rPr>
                <w:sz w:val="12"/>
                <w:szCs w:val="12"/>
                <w:color w:val="auto"/>
              </w:rPr>
            </w:pPr>
          </w:p>
        </w:tc>
        <w:tc>
          <w:tcPr>
            <w:tcW w:w="11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gridSpan w:val="3"/>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73"/>
        </w:trPr>
        <w:tc>
          <w:tcPr>
            <w:tcW w:w="2200" w:type="dxa"/>
            <w:vAlign w:val="bottom"/>
            <w:gridSpan w:val="3"/>
            <w:vMerge w:val="continue"/>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100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David Mehalick</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ind w:left="7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w w:val="81"/>
              </w:rPr>
              <w:t>n/a</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6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color w:val="auto"/>
                <w:w w:val="93"/>
              </w:rPr>
              <w:t>n/a</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Daniel Yerace</w:t>
            </w:r>
          </w:p>
        </w:tc>
        <w:tc>
          <w:tcPr>
            <w:tcW w:w="108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ind w:left="68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6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Christine Sheehy</w:t>
            </w:r>
          </w:p>
        </w:tc>
        <w:tc>
          <w:tcPr>
            <w:tcW w:w="108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Coeptis is party to employment agreements with both David Mehalick and Daniel Yerace, each of which are described below. Coeptis does not currently have employment agreements with any of its other officers and directors.</w:t>
      </w:r>
    </w:p>
    <w:p>
      <w:pPr>
        <w:spacing w:after="0" w:line="158"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Mehalick: </w:t>
      </w:r>
      <w:r>
        <w:rPr>
          <w:rFonts w:ascii="Times New Roman" w:cs="Times New Roman" w:eastAsia="Times New Roman" w:hAnsi="Times New Roman"/>
          <w:sz w:val="18"/>
          <w:szCs w:val="18"/>
          <w:color w:val="auto"/>
        </w:rPr>
        <w:t>David Mehalick, our President and Chief Executive Officer, entered into an employment agreement with Coeptis Therapeutics,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on February 21,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covering Coeptis and its subsidiary, Coeptis Pharmaceuticals. The employment agreement is in effect immediately and will remain in effect until the termination of the employment agreement by either party in accordance with Section 5 of the employment agreement. Mr. Mehalick shall report to the Coeptis Board of Directors and shall have the duties, responsibilities and authority as may from time to time be assigned to him by Coeptis Board of Directors. Under the employment agreement, Coeptis pays to Mr. Mehalick an annualized salary at the initial rate of $275,000, which will increase to $360,000 under certain circumstances. Mr. Mehalick will also receive a guaranteed bonus equal to twenty (20%) of his base salary for each calendar year, and will be eligible to receive merit bonuses, certain milestone bonuses and awards of stock options, restricted stock units or other equity awards pursuant to any plans or arrangements that Coeptis may have in effect from time to time. The foregoing is a summary does not purport to be complete and is qualified in its entirety by reference Mr. Mehalick’s employment agreement, which is filed as Exhibit 4.1 to Coeptis’ Current Report on Form 8-K filed on February 21, 2022.</w:t>
      </w:r>
    </w:p>
    <w:p>
      <w:pPr>
        <w:spacing w:after="0" w:line="185" w:lineRule="exact"/>
        <w:rPr>
          <w:sz w:val="20"/>
          <w:szCs w:val="20"/>
          <w:color w:val="auto"/>
        </w:rPr>
      </w:pPr>
    </w:p>
    <w:p>
      <w:pPr>
        <w:ind w:right="80" w:firstLine="432"/>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Daniel Yerace: </w:t>
      </w:r>
      <w:r>
        <w:rPr>
          <w:rFonts w:ascii="Times New Roman" w:cs="Times New Roman" w:eastAsia="Times New Roman" w:hAnsi="Times New Roman"/>
          <w:sz w:val="17"/>
          <w:szCs w:val="17"/>
          <w:color w:val="auto"/>
        </w:rPr>
        <w:t>Daniel A. Yerace, our Vice President of Operations, entered into an employment agreement with Coeptis on the Effective Date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covering Coeptis and its subsidiary, Coeptis Pharmaceuticals. The employment agreement is in effect immediately and will be effective from the Effective Date until the termination of the employment agreement by either party in accordance with Section 5 of the employment agreement. Mr. Yerace reports to the President of Coeptis and has the duties, responsibilities and authority as may from time to time be assigned to him by Coeptis’ President. Under the employment agreement, the Coeptis pays to Mr. Yerace an annualized salary at the initial rate of $275,000, which will increase to $360,000 under certain circumstances. Mr. Yerace will also receive a guaranteed bonus equal to twenty (20%) of his base salary for each calendar year, and will be eligible to receive merit bonuses, certain milestone bonuses and awards of stock options, restricted stock units or other equity awards pursuant to any plans or arrangements that Coeptis may have in effect from time to time. The foregoing summary does not purport to be complete and is qualified in its entirety by reference Mr. Yerace’s employment agreement, which is filed as Exhibit 4.1 to Coeptis’ Current Report on Form 8-K filed on February 21,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 OF COEPTIS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References in this section to “Coeptis,” “we” and “our” refer to “Coeptis Therapeutics, Inc.” and its consolidated subsidiaries.</w:t>
      </w:r>
    </w:p>
    <w:p>
      <w:pPr>
        <w:spacing w:after="0" w:line="227"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common stock beneficially owned on September 16, 2022, for (i) each stockholder known to be the beneficial owner of more than 5% of our outstanding Company Common Stock, (ii) each executive officer and director, and (iii) all executive officers and directors as a group. In general, a person is deemed to be a “beneficial owner” of a security if that person has or shares the power to vote or direct the voting of such security, or the power to dispose or to direct the disposition of such security. A person is also deemed to be a beneficial owner of any securities of which the person has the right to acquire beneficial ownership within 60 days, through the exercise of a warrant or stock option, conversion of a convertible security or otherwise. The table assumes a total of 51,207,163 shares of our common stock outstanding as of September 16, 2022, based on 43,207,163 shares of common stock outstanding and 8,000,000 shares of common stock issuable upon conversion of our currently outstanding Series B Convertible Preferred Stock. Unless otherwise noted below the address of each person identified is c/o Coeptis Therapeutics, Inc., 105 Bradford Rd, Suite 420, Wexford, Pennsylvania 15090.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0" w:type="dxa"/>
            <w:vAlign w:val="bottom"/>
          </w:tcPr>
          <w:p>
            <w:pPr>
              <w:spacing w:after="0"/>
              <w:rPr>
                <w:sz w:val="19"/>
                <w:szCs w:val="19"/>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70"/>
        </w:trPr>
        <w:tc>
          <w:tcPr>
            <w:tcW w:w="7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Name of Shareholder</w:t>
            </w:r>
          </w:p>
        </w:tc>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400" w:type="dxa"/>
            <w:vAlign w:val="bottom"/>
          </w:tcPr>
          <w:p>
            <w:pPr>
              <w:spacing w:after="0"/>
              <w:rPr>
                <w:sz w:val="23"/>
                <w:szCs w:val="23"/>
                <w:color w:val="auto"/>
              </w:rPr>
            </w:pPr>
          </w:p>
        </w:tc>
        <w:tc>
          <w:tcPr>
            <w:tcW w:w="1720" w:type="dxa"/>
            <w:vAlign w:val="bottom"/>
            <w:gridSpan w:val="2"/>
          </w:tcPr>
          <w:p>
            <w:pPr>
              <w:jc w:val="right"/>
              <w:ind w:right="580"/>
              <w:spacing w:after="0" w:line="270" w:lineRule="exact"/>
              <w:rPr>
                <w:sz w:val="20"/>
                <w:szCs w:val="20"/>
                <w:color w:val="auto"/>
              </w:rPr>
            </w:pPr>
            <w:r>
              <w:rPr>
                <w:rFonts w:ascii="Times New Roman" w:cs="Times New Roman" w:eastAsia="Times New Roman" w:hAnsi="Times New Roman"/>
                <w:sz w:val="18"/>
                <w:szCs w:val="18"/>
                <w:b w:val="1"/>
                <w:bCs w:val="1"/>
                <w:color w:val="auto"/>
              </w:rPr>
              <w:t>Owned</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189"/>
        </w:trPr>
        <w:tc>
          <w:tcPr>
            <w:tcW w:w="1200" w:type="dxa"/>
            <w:vAlign w:val="bottom"/>
            <w:tcBorders>
              <w:top w:val="single" w:sz="8" w:color="auto"/>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6140" w:type="dxa"/>
            <w:vAlign w:val="bottom"/>
            <w:tcBorders>
              <w:top w:val="single" w:sz="8" w:color="auto"/>
              <w:bottom w:val="single" w:sz="8" w:color="CCEEFF"/>
            </w:tcBorders>
            <w:gridSpan w:val="4"/>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5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Executive Officers and Directors</w:t>
            </w: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60" w:type="dxa"/>
            <w:vAlign w:val="bottom"/>
            <w:gridSpan w:val="7"/>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David Mehalick</w:t>
            </w:r>
          </w:p>
        </w:tc>
        <w:tc>
          <w:tcPr>
            <w:tcW w:w="1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9,800,000</w:t>
            </w:r>
          </w:p>
        </w:tc>
        <w:tc>
          <w:tcPr>
            <w:tcW w:w="400" w:type="dxa"/>
            <w:vAlign w:val="bottom"/>
            <w:vMerge w:val="restart"/>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91"/>
              </w:rPr>
              <w:t>(2)</w:t>
            </w:r>
          </w:p>
        </w:tc>
        <w:tc>
          <w:tcPr>
            <w:tcW w:w="1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7"/>
                <w:szCs w:val="17"/>
                <w:color w:val="auto"/>
              </w:rPr>
              <w:t>19.14%</w:t>
            </w:r>
          </w:p>
        </w:tc>
        <w:tc>
          <w:tcPr>
            <w:tcW w:w="0" w:type="dxa"/>
            <w:vAlign w:val="bottom"/>
          </w:tcPr>
          <w:p>
            <w:pPr>
              <w:spacing w:after="0"/>
              <w:rPr>
                <w:sz w:val="1"/>
                <w:szCs w:val="1"/>
                <w:color w:val="auto"/>
              </w:rPr>
            </w:pPr>
          </w:p>
        </w:tc>
      </w:tr>
      <w:tr>
        <w:trPr>
          <w:trHeight w:val="48"/>
        </w:trPr>
        <w:tc>
          <w:tcPr>
            <w:tcW w:w="8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18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43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56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vMerge w:val="continue"/>
            <w:shd w:val="clear" w:color="auto" w:fill="CCEEFF"/>
          </w:tcPr>
          <w:p>
            <w:pPr>
              <w:spacing w:after="0"/>
              <w:rPr>
                <w:sz w:val="4"/>
                <w:szCs w:val="4"/>
                <w:color w:val="auto"/>
              </w:rPr>
            </w:pPr>
          </w:p>
        </w:tc>
        <w:tc>
          <w:tcPr>
            <w:tcW w:w="15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Daniel Yerace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4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7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7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Officers and directors, as a group (3 persons)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15,800,000</w:t>
            </w:r>
          </w:p>
        </w:tc>
        <w:tc>
          <w:tcPr>
            <w:tcW w:w="4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30.86%</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5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5% Owners</w:t>
            </w: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560" w:type="dxa"/>
            <w:vAlign w:val="bottom"/>
            <w:gridSpan w:val="7"/>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Lisa Pharma LLC</w:t>
            </w:r>
            <w:r>
              <w:rPr>
                <w:rFonts w:ascii="Times New Roman" w:cs="Times New Roman" w:eastAsia="Times New Roman" w:hAnsi="Times New Roman"/>
                <w:sz w:val="29"/>
                <w:szCs w:val="29"/>
                <w:color w:val="auto"/>
                <w:vertAlign w:val="superscript"/>
              </w:rPr>
              <w:t>(3)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4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57"/>
        </w:trPr>
        <w:tc>
          <w:tcPr>
            <w:tcW w:w="7560" w:type="dxa"/>
            <w:vAlign w:val="bottom"/>
            <w:gridSpan w:val="7"/>
          </w:tcPr>
          <w:p>
            <w:pPr>
              <w:spacing w:after="0" w:line="256" w:lineRule="exact"/>
              <w:rPr>
                <w:sz w:val="20"/>
                <w:szCs w:val="20"/>
                <w:color w:val="auto"/>
              </w:rPr>
            </w:pPr>
            <w:r>
              <w:rPr>
                <w:rFonts w:ascii="Times New Roman" w:cs="Times New Roman" w:eastAsia="Times New Roman" w:hAnsi="Times New Roman"/>
                <w:sz w:val="18"/>
                <w:szCs w:val="18"/>
                <w:color w:val="auto"/>
              </w:rPr>
              <w:t>Lena Pharma LLC</w:t>
            </w:r>
            <w:r>
              <w:rPr>
                <w:rFonts w:ascii="Times New Roman" w:cs="Times New Roman" w:eastAsia="Times New Roman" w:hAnsi="Times New Roman"/>
                <w:sz w:val="29"/>
                <w:szCs w:val="29"/>
                <w:color w:val="auto"/>
                <w:vertAlign w:val="superscript"/>
              </w:rPr>
              <w:t>(4)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400" w:type="dxa"/>
            <w:vAlign w:val="bottom"/>
          </w:tcPr>
          <w:p>
            <w:pPr>
              <w:spacing w:after="0"/>
              <w:rPr>
                <w:sz w:val="22"/>
                <w:szCs w:val="22"/>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149"/>
        </w:trPr>
        <w:tc>
          <w:tcPr>
            <w:tcW w:w="2840" w:type="dxa"/>
            <w:vAlign w:val="bottom"/>
            <w:tcBorders>
              <w:bottom w:val="single" w:sz="8" w:color="CCEEFF"/>
            </w:tcBorders>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Series B Convertible Preferred Stock</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7"/>
              </w:rPr>
              <w:t>(5)</w:t>
            </w:r>
          </w:p>
        </w:tc>
        <w:tc>
          <w:tcPr>
            <w:tcW w:w="4540" w:type="dxa"/>
            <w:vAlign w:val="bottom"/>
            <w:tcBorders>
              <w:bottom w:val="single" w:sz="8" w:color="CCEEFF"/>
            </w:tcBorders>
            <w:gridSpan w:val="2"/>
            <w:vMerge w:val="restart"/>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840" w:type="dxa"/>
            <w:vAlign w:val="bottom"/>
            <w:tcBorders>
              <w:bottom w:val="single" w:sz="8" w:color="auto"/>
            </w:tcBorders>
            <w:gridSpan w:val="4"/>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4540" w:type="dxa"/>
            <w:vAlign w:val="bottom"/>
            <w:tcBorders>
              <w:bottom w:val="single" w:sz="8" w:color="CCEEFF"/>
            </w:tcBorders>
            <w:gridSpan w:val="2"/>
            <w:vMerge w:val="continue"/>
            <w:shd w:val="clear" w:color="auto" w:fill="CCEEFF"/>
          </w:tcPr>
          <w:p>
            <w:pPr>
              <w:spacing w:after="0"/>
              <w:rPr>
                <w:sz w:val="5"/>
                <w:szCs w:val="5"/>
                <w:color w:val="auto"/>
              </w:rPr>
            </w:pPr>
          </w:p>
        </w:tc>
        <w:tc>
          <w:tcPr>
            <w:tcW w:w="156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15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560" w:type="dxa"/>
            <w:vAlign w:val="bottom"/>
            <w:tcBorders>
              <w:top w:val="single" w:sz="8" w:color="CCEEFF"/>
            </w:tcBorders>
            <w:gridSpan w:val="7"/>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40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ind w:left="360" w:hanging="352"/>
        <w:spacing w:after="0" w:line="261" w:lineRule="auto"/>
        <w:tabs>
          <w:tab w:leader="none" w:pos="3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51,207,163 shares outstanding, which includes 43,207,163 issued shares and 8,000,000 unissued shares that underlie 8,000 issued shares of our Series B Convertible Preferred Stock convertible within 60 days of the date of this proxy statement.</w:t>
      </w:r>
    </w:p>
    <w:p>
      <w:pPr>
        <w:ind w:left="360" w:hanging="352"/>
        <w:spacing w:after="0" w:line="250" w:lineRule="auto"/>
        <w:tabs>
          <w:tab w:leader="none" w:pos="3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8,000,000 of such shares have not been issued but underlie 8,000 issued shares of our Series B Convertible Preferred Stock convertible within 60 days of the date of this proxy statement.</w:t>
      </w:r>
    </w:p>
    <w:p>
      <w:pPr>
        <w:ind w:left="360" w:hanging="352"/>
        <w:spacing w:after="0"/>
        <w:tabs>
          <w:tab w:leader="none" w:pos="3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Lisa Kuchera is the manager of this entity and possesses voting control over securities owned by it.</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Lena Kuchera is the manager of this entity and possesses voting control over securities owned by it.</w:t>
      </w:r>
    </w:p>
    <w:p>
      <w:pPr>
        <w:spacing w:after="0" w:line="9" w:lineRule="exact"/>
        <w:rPr>
          <w:rFonts w:ascii="Times New Roman" w:cs="Times New Roman" w:eastAsia="Times New Roman" w:hAnsi="Times New Roman"/>
          <w:sz w:val="18"/>
          <w:szCs w:val="18"/>
          <w:color w:val="auto"/>
        </w:rPr>
      </w:pPr>
    </w:p>
    <w:p>
      <w:pPr>
        <w:jc w:val="both"/>
        <w:ind w:left="360" w:hanging="352"/>
        <w:spacing w:after="0" w:line="253" w:lineRule="auto"/>
        <w:tabs>
          <w:tab w:leader="none" w:pos="3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outstanding shares of Series B Convertible Preferred Stock shall be entitled to the number of votes equal to 1,000 shares of our common stock for each share of Series B Convertible Preferred Stock. Except as provided by law, or by the provisions establishing any other series of our Preferred Stock, holders of Series B Convertible Preferred Stock and of any other outstanding series of Preferred Stock shall vote on an as-converted basis together with the holders of our common stock as a single class.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p>
      <w:pPr>
        <w:ind w:left="4060"/>
        <w:spacing w:after="0"/>
        <w:rPr>
          <w:sz w:val="20"/>
          <w:szCs w:val="20"/>
          <w:color w:val="auto"/>
        </w:rPr>
      </w:pPr>
      <w:r>
        <w:rPr>
          <w:rFonts w:ascii="Times New Roman" w:cs="Times New Roman" w:eastAsia="Times New Roman" w:hAnsi="Times New Roman"/>
          <w:sz w:val="18"/>
          <w:szCs w:val="18"/>
          <w:b w:val="1"/>
          <w:bCs w:val="1"/>
          <w:color w:val="auto"/>
        </w:rPr>
        <w:t>INFORMATION ABOUT BULL HORN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References to the “Company,” “us” or “we” in this section refer to Bull Horn.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We were incorporated as a British Virgin Islands business company on November 27, 2018, as a blank check company for the purpose of acquiring, engaging in a share exchange, share reconstruction and amalgamation with, purchasing all or substantially all of the assets of, entering into contractual arrangements with, or engaging in any other similar business combination with one or more businesses or entities.</w:t>
      </w:r>
    </w:p>
    <w:p>
      <w:pPr>
        <w:spacing w:after="0" w:line="17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On November 3, 2020, we completed our IPO of 7,500,000 Units, generating gross proceeds of $75,000,000. Simultaneously with the closing of the IPO, we consummated the sale of an aggregate of 3,750,000 Private Placement Warrants at a price of $1.00 per warrant in a private placement to our sponsor, Imperial, I-Bankers and Northland, generating total gross proceeds of $3,750,000.</w:t>
      </w:r>
    </w:p>
    <w:p>
      <w:pPr>
        <w:spacing w:after="0" w:line="176"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A total of $75,750,000, comprised of $72,000,000 of the proceeds from the IPO and $3,750,000 of the proceeds of the sale of the Private Placement Warrants, was placed in our trust account.</w:t>
      </w:r>
    </w:p>
    <w:p>
      <w:pPr>
        <w:spacing w:after="0" w:line="162"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We must complete our initial business combination by November 3, 2022, which date was extended by approval of our shareholders in a special meeting held on April 26, 2022. On April 27, 2022, we filed an amended and restated copy of the Amended and Restated Memorandum and Articles of Association with the Registrar of Corporate Affairs of the British Virgin Islands, effective the same day. In connection with the special meeting, shareholders holding 4,258,586 public shares exercised their right to redeem their shares for a pro rata portion of the funds in the trust account. As a result, approximately $43.0 million (approximately $10.10 per public share) was removed from the trust account immediately after the redemption to pay such holders and approximately $33.0 million remained in the trust account as of June 30, 2022. Following redemptions, we have 3,241,414 public shares outstanding and the sponsor agreed to lend Bull Horn $66,667 (or approximately $0.02 per public share that remains outstanding) per month to deposit into the trust account in connection with the extension of our termination date from May 3, 2022 to November 3, 2022. If the initial business combination is not consummated by November 3, 2022, then Bull Horn’s existence will terminate, and we will distribute all amounts in the trust account.</w:t>
      </w:r>
    </w:p>
    <w:p>
      <w:pPr>
        <w:spacing w:after="0" w:line="188"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Bull Horn is not presently engaged in, and will not engage in, any substantive commercial business until it completes the Business Combination with Coeptis or another target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We currently have two officers. These individuals are not obligated to devote any specific number of hours to our matters but they are devoting as much of their time as they deem necessary to our affairs until we have completed our initial business combination. The amount of time they devote in any time period varies based on the stage of the business combination process we are in. We do not have and do not intend to have any full time employees prior to the consummation of our initial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at 801 S. Pointe Drive, Suite TH-1, Miami Beach, Florida 33139 and our telephone number is (305) 671-3341. Our sponsor provides, at no cost to us, office space, utilities and secretarial and administrative support. We consider our current office space adequate for our current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To the knowledge of our management team, there is no litigation currently pending or contemplated against us, any of our officers or directors in their capacity as such or against any of our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0" w:name="page101"/>
    <w:bookmarkEnd w:id="100"/>
    <w:p>
      <w:pPr>
        <w:ind w:left="1080"/>
        <w:spacing w:after="0"/>
        <w:rPr>
          <w:sz w:val="20"/>
          <w:szCs w:val="20"/>
          <w:color w:val="auto"/>
        </w:rPr>
      </w:pPr>
      <w:r>
        <w:rPr>
          <w:rFonts w:ascii="Times New Roman" w:cs="Times New Roman" w:eastAsia="Times New Roman" w:hAnsi="Times New Roman"/>
          <w:sz w:val="18"/>
          <w:szCs w:val="18"/>
          <w:b w:val="1"/>
          <w:bCs w:val="1"/>
          <w:color w:val="auto"/>
        </w:rPr>
        <w:t>DIRECTORS, OFFICERS, EXECUTIVE COMPENSATION AND CORPORATE GOVERNANCE OF BULL HORN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References to the “Company,” “us” or “we” in this section refer to Bull Horn.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Bull Horn’s current directors and officers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20" w:type="dxa"/>
            <w:vAlign w:val="bottom"/>
            <w:tcBorders>
              <w:top w:val="single" w:sz="8" w:color="auto"/>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880" w:type="dxa"/>
            <w:vAlign w:val="bottom"/>
            <w:tcBorders>
              <w:top w:val="single" w:sz="8" w:color="auto"/>
              <w:bottom w:val="single" w:sz="8" w:color="auto"/>
            </w:tcBorders>
          </w:tcPr>
          <w:p>
            <w:pPr>
              <w:ind w:left="32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Striar</w:t>
            </w:r>
          </w:p>
        </w:tc>
        <w:tc>
          <w:tcPr>
            <w:tcW w:w="172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49</w:t>
            </w:r>
          </w:p>
        </w:tc>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Christopher Calise</w:t>
            </w:r>
          </w:p>
        </w:tc>
        <w:tc>
          <w:tcPr>
            <w:tcW w:w="17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49</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Master</w:t>
            </w:r>
          </w:p>
        </w:tc>
        <w:tc>
          <w:tcPr>
            <w:tcW w:w="172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53</w:t>
            </w:r>
          </w:p>
        </w:tc>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Michael Gandler</w:t>
            </w:r>
          </w:p>
        </w:tc>
        <w:tc>
          <w:tcPr>
            <w:tcW w:w="17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44</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Wattenberg</w:t>
            </w:r>
          </w:p>
        </w:tc>
        <w:tc>
          <w:tcPr>
            <w:tcW w:w="172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67</w:t>
            </w:r>
          </w:p>
        </w:tc>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Doug Schaer</w:t>
            </w:r>
          </w:p>
        </w:tc>
        <w:tc>
          <w:tcPr>
            <w:tcW w:w="17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50</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Baron Davis</w:t>
            </w:r>
          </w:p>
        </w:tc>
        <w:tc>
          <w:tcPr>
            <w:tcW w:w="172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43</w:t>
            </w:r>
          </w:p>
        </w:tc>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experience of Bull Horn’s directors and executive officers is as follows:</w:t>
      </w:r>
    </w:p>
    <w:p>
      <w:pPr>
        <w:spacing w:after="0" w:line="22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Robert Striar</w:t>
      </w:r>
      <w:r>
        <w:rPr>
          <w:rFonts w:ascii="Times New Roman" w:cs="Times New Roman" w:eastAsia="Times New Roman" w:hAnsi="Times New Roman"/>
          <w:sz w:val="18"/>
          <w:szCs w:val="18"/>
          <w:color w:val="auto"/>
        </w:rPr>
        <w:t>, our Chief Executive Officer and a director since our inception, has served as the President of M Style, a leading strategy,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branding firm specializing in sports, entertainment and consumer products, since 2008. Mr. Striar has worked in the sports strategy, marketing and branding space in the United States and Europe for 20 years, cultivating and enriching brand and sponsorship programs at a variety of levels. Mr. Striar’s client roster has included global federations and international sports leagues as well as a wide variety of Fortune 500 brands, including Disney, the National Football League Players’ Association, National Hockey League and Warner Brothers. Mr. Striar has worked with teams and leagues for strategic planning, commercial development and operations. Mr. Striar has served as Chairman of Strategy for China-US Business Alliance since 2018 and as the President of the Alumni of the Pro Hockey Players Association since 2017. We believe Mr. Striar is qualified to serve as our director due to his operational experience and his network of contacts.</w:t>
      </w:r>
    </w:p>
    <w:p>
      <w:pPr>
        <w:spacing w:after="0" w:line="185" w:lineRule="exact"/>
        <w:rPr>
          <w:sz w:val="20"/>
          <w:szCs w:val="20"/>
          <w:color w:val="auto"/>
        </w:rPr>
      </w:pPr>
    </w:p>
    <w:p>
      <w:pPr>
        <w:ind w:right="220" w:firstLine="43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Christopher Calise</w:t>
      </w:r>
      <w:r>
        <w:rPr>
          <w:rFonts w:ascii="Times New Roman" w:cs="Times New Roman" w:eastAsia="Times New Roman" w:hAnsi="Times New Roman"/>
          <w:sz w:val="17"/>
          <w:szCs w:val="17"/>
          <w:color w:val="auto"/>
        </w:rPr>
        <w:t>, our Chief Financial Officer and a director since our inception, has over 15 years of experience in the finance and insurance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industries and has been responsible for setting the strategic vision for Crown Global, a domestic and international private placement insurance holding company, as well as overseeing its day-to-day management, including finance, operations and sales, since 2010. He also works closely with both internal and external sales and marketing in the development of new product initiatives, as well as evaluating new markets. Prior to joining Crown Global,</w:t>
      </w:r>
    </w:p>
    <w:p>
      <w:pPr>
        <w:ind w:right="20"/>
        <w:spacing w:after="0" w:line="252" w:lineRule="auto"/>
        <w:rPr>
          <w:sz w:val="20"/>
          <w:szCs w:val="20"/>
          <w:color w:val="auto"/>
        </w:rPr>
      </w:pPr>
      <w:r>
        <w:rPr>
          <w:rFonts w:ascii="Times New Roman" w:cs="Times New Roman" w:eastAsia="Times New Roman" w:hAnsi="Times New Roman"/>
          <w:sz w:val="18"/>
          <w:szCs w:val="18"/>
          <w:color w:val="auto"/>
        </w:rPr>
        <w:t>Mr. Calise was a principal at LSC Investors, LLC, from 2001 to 2009, where he advised The Second City, Inc. and Narciso Rodriguez and restructured Phillips de Pury &amp; Luxembourg, a large global auction house. From 1999 to 2001, he was an associate with Crown Capital Group, Inc., a private equity investment firm focused on assisting middle-market companies build value over the long term and was one of the founding members of Fresh Direct, LLC. Mr. Calise was also a consultant with the Industrial Products Group at PriceWaterhouse in its Chicago office, from 1997 to 1999. Mr. Calise is a member of the board of Song4Life and Student Finance League Inc. Mr. Calise received a Bachelor of Arts in Economics from the University of Chicago, as well as certifications in insurance and finance. We believe Mr. Calise is qualified to serve as our director due to his operational and executive experience.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1" w:name="page102"/>
    <w:bookmarkEnd w:id="101"/>
    <w:p>
      <w:pPr>
        <w:ind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Master </w:t>
      </w:r>
      <w:r>
        <w:rPr>
          <w:rFonts w:ascii="Times New Roman" w:cs="Times New Roman" w:eastAsia="Times New Roman" w:hAnsi="Times New Roman"/>
          <w:sz w:val="18"/>
          <w:szCs w:val="18"/>
          <w:color w:val="auto"/>
        </w:rPr>
        <w:t>has served as one of our directors since October 2020. Mr. Master is currently the Managing Director of Master Consulting LLC,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sports media &amp; gaming advisory firm. Mr. Master is also advising several leading venture capital firms on their investments in the sports betting space as well as the AGA on the Sports Betting Initiative and is a member of their Sports Betting Task Force. For the prior ten years, he served as the Global Head of the Sports Group at the Nielsen Company and was the co-founder of the Nielsen eSports practice. Prior to joining Nielsen, Mr. Master was the VP of Business Development of Corporate Sponsorships at the National Football League. Before the NFL, Mr. Master worked at Octagon Worldwide as the VP of Marketing Solutions where he worked with leading brands to incorporate sports, music &amp; entertainment into their marketing portfolios as well as to activate and leverage those investments at retail. Mr. Master also previously worked at the National Basketball Association, where he served as the Director of Business Development in the International Group. Mr. Master graduated with a BBA from the University of Michigan, received an MBA from the Kellogg School of Management at Northwestern University and is currently an adjunct professor at NYU’s Stern School of Business where he teaches a Sports &amp; Entertainment Marketing course. We believe that Mr. Master’s executive experience and financial expertise qualifies him to serve as a director of our company.</w:t>
      </w:r>
    </w:p>
    <w:p>
      <w:pPr>
        <w:spacing w:after="0" w:line="182" w:lineRule="exact"/>
        <w:rPr>
          <w:sz w:val="20"/>
          <w:szCs w:val="20"/>
          <w:color w:val="auto"/>
        </w:rPr>
      </w:pPr>
    </w:p>
    <w:p>
      <w:pPr>
        <w:ind w:right="60"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Gandler </w:t>
      </w:r>
      <w:r>
        <w:rPr>
          <w:rFonts w:ascii="Times New Roman" w:cs="Times New Roman" w:eastAsia="Times New Roman" w:hAnsi="Times New Roman"/>
          <w:sz w:val="18"/>
          <w:szCs w:val="18"/>
          <w:color w:val="auto"/>
        </w:rPr>
        <w:t>has served as one of our directors since October 2020. With a career spanning 20 years in the sports and entertainment industry,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Michael Gandler has been active globally in the commercialization and marketing of some of the world’s most prominent sports and entertainment properties. Currently, Michael is the Managing Director of SENT Sports, a media and entertainment company owned by Indonesia’s Djarum Group and also serves as the Chief Executive Officer of storied Italian football club Como 1907, the acquisition of which he negotiated in 2019. Previously, from July of 2015 to December of 2018, he was the Chief Revenue Officer for FC Internazionale di Milano (“Inter Milan”), where he oversaw all areas of commercialization for the club, including media rights, sponsorship, retail, licensing, ticketing, international academies and the clubs global marketing efforts. Prior to joining Inter Milan, from to August 2013 to July 2015, he was the founder and President of Major League Revenue, a boutique agency specializing in the commercialization of sports and entertainment properties. From July 2004 to April 2011, Mr. Gandler was also a senior executive at Major League Soccer, where he oversaw global sponsorships and media, and is credited with the negotiation of landmark sponsorship and international media rights deals for the league. In addition to his work on the property side of the business, Mr. Gandler also spent a total of 6 years working for sports marketing agencies, overseeing business development and marketing efforts for IMG College properties as well as some of the most prestigious events across the Americas including the CONCACAF Gold Cup, Copa America and FIFA World Cup Qualifying. Mr. Gandler has led the commercial efforts behind international properties expanding into the U.S. market, including FC Barcelona, Manchester United, the Mexican Soccer Federation and others. Mr. Gandler holds a Bachelor of Arts degree in Economics from Connecticut College and an Master of Science degree in Sports Management from the Centre International d’Etude du Sport. We believe that Mr. Gandler’s extensive and varied professional experience well qualifies him to serve as a director of our company.</w:t>
      </w:r>
    </w:p>
    <w:p>
      <w:pPr>
        <w:spacing w:after="0" w:line="195"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 Wattenberg </w:t>
      </w:r>
      <w:r>
        <w:rPr>
          <w:rFonts w:ascii="Times New Roman" w:cs="Times New Roman" w:eastAsia="Times New Roman" w:hAnsi="Times New Roman"/>
          <w:sz w:val="18"/>
          <w:szCs w:val="18"/>
          <w:color w:val="auto"/>
        </w:rPr>
        <w:t>has served as one of our directors since October 2020. Mr. Wattenberg is a private investor and Wall Street veteran. He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founder and former President of a broker dealer with 200 brokers and is also a founder and former President of Telecuba Holdings, a telecom firm that secured licenses from the FCC to connect the United States with Cuba direct via satellite. He was a seed round investor in InterAmericas Communications (aka FirstCom) which was sold to ATT, and a seed round investor in Worldport Communications which was sold to Energis U.K. for $600 million. He was the founder and President of Briefserve, the largest digital legal brief archive in the United States, which was sold to Westlaw, a division of Thomson Reuters. In addition, Jeffrey was a Board Member of the Association of Volleyball Professionals. He was directly involved in raising over $20 million in capital for the league and secured tour sponsorships in excess of $25 million for the AVP. He was co-founder of Flash Flood for Good, a non-profit initiative in partnership with The Clinton Global Initiative, Proctor &amp; Gamble and Crispin Porter Bogusky. Mr. Wattenberg earned a Bachelor of Arts degree in Accounting from Pace University. We believe that Mr. Wattenberg’s financial expertise qualifies him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2" w:name="page103"/>
    <w:bookmarkEnd w:id="102"/>
    <w:p>
      <w:pPr>
        <w:ind w:right="40"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 Schaer </w:t>
      </w:r>
      <w:r>
        <w:rPr>
          <w:rFonts w:ascii="Times New Roman" w:cs="Times New Roman" w:eastAsia="Times New Roman" w:hAnsi="Times New Roman"/>
          <w:sz w:val="18"/>
          <w:szCs w:val="18"/>
          <w:color w:val="auto"/>
        </w:rPr>
        <w:t>has served as one of our directors since October 2020. Mr. Schaer was a long-time certified player agent by the Major League Baseball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Players Association. An experienced entrepreneur, operator and business strategist, Mr. Schaer specializes in franchise asset development and foundation building in the entertainment, music and sports genres. Doug is coming off a 3 year stint as Chief Operating Officer for LiveXLive Media, Inc. (NASDAQ: LIVX), a global digital media company dedicated to music and live entertainment, while also serving as Chief Advisor to two-time NBA All-Star, entrepreneur, investor, and businessman, Baron Davis (via Baron Davis Enterprises). Previously, Doug co-founded and served as COO for Hero Ventures LLC, an innovative live entertainment production and touring company that obtained a license from Marvel Entertainment to utilize their intellectual property to launch a production called “The Marvel Experience,” a touring, branded and themed attraction in North America, which was ultimately extended to international release. To this day, Mr. Schaer continues to serve on the board of directors of Hero Ventures. Mr. Schaer earned a BA in Government from Wesleyan University and a J.D. from the University of Southern California, Gould School of Law. We believe that Mr. Schaer’s executive experience well qualifies him to serve as a director of our company.</w:t>
      </w:r>
    </w:p>
    <w:p>
      <w:pPr>
        <w:spacing w:after="0" w:line="18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Baron Davis </w:t>
      </w:r>
      <w:r>
        <w:rPr>
          <w:rFonts w:ascii="Times New Roman" w:cs="Times New Roman" w:eastAsia="Times New Roman" w:hAnsi="Times New Roman"/>
          <w:sz w:val="18"/>
          <w:szCs w:val="18"/>
          <w:color w:val="auto"/>
        </w:rPr>
        <w:t>has served as one of our directors since October 2020. Mr. Davis is a former two-time NBA All-Star and current entrepreneur, investor,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businessman investing in early-stage companies with a focus on media and technology. He has also founded and incubated several companies under his banner, Baron Davis Enterprises (“BDE”). During his 13-year NBA career, Baron played for the Charlotte Hornets, the Golden State Warriors, the Los Angeles Clippers, the Cleveland Cavaliers, and the New York Knicks. His game was known for its electrifying style, power and composure in high-pressure situations. Since his turning to entrepreneurship, Baron has formed numerous successful enterprises under his BDE banner including: Business Inside the Game (“BIG”), the Black Santa Company, and Sports Lifestyle in Culture (“SLIC”), his media platform and content studio. All of Baron’s business endeavors revolve around the objective of combining creative talent with original publication and production to develop and provide educational and heart-warming stories that appeal to global audiences of all ages, backgrounds, and interests. We believe that Mr. Davis is well qualified to serve a director due to his experience as a participant and investor in the sports and entertainment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two standing committees: an audit committee and a compensation committee. Subject to phase-in rules and a limited exception, the rules of Nasdaq and Rule 10A-3 of the Exchange Act require that the audit committee of a listed company be comprised solely of independent directors, and the rules of Nasdaq require that the compensation committee of a listed company be comprised solely of independent directors. The charter of each committee is available on our website at </w:t>
      </w:r>
      <w:r>
        <w:rPr>
          <w:rFonts w:ascii="Times New Roman" w:cs="Times New Roman" w:eastAsia="Times New Roman" w:hAnsi="Times New Roman"/>
          <w:sz w:val="18"/>
          <w:szCs w:val="18"/>
          <w:i w:val="1"/>
          <w:iCs w:val="1"/>
          <w:color w:val="auto"/>
        </w:rPr>
        <w:t>www.bullhornse.com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right="300" w:firstLine="432"/>
        <w:spacing w:after="0" w:line="289" w:lineRule="auto"/>
        <w:rPr>
          <w:sz w:val="20"/>
          <w:szCs w:val="20"/>
          <w:color w:val="auto"/>
        </w:rPr>
      </w:pPr>
      <w:r>
        <w:rPr>
          <w:rFonts w:ascii="Times New Roman" w:cs="Times New Roman" w:eastAsia="Times New Roman" w:hAnsi="Times New Roman"/>
          <w:sz w:val="17"/>
          <w:szCs w:val="17"/>
          <w:color w:val="auto"/>
        </w:rPr>
        <w:t>We have established an audit committee of the board of directors. Messrs. Master, Gandler, Wattenberg and Schaer serve as members of our audit committee. Mr. Wattenberg serves as chairman of the audit committee. Under the Nasdaq listing standards and applicable SEC rules, we are required to have three members of the audit committee all of whom must be independent. Messrs. Master, Gandler, Wattenberg and Schaer are independent.</w:t>
      </w:r>
    </w:p>
    <w:p>
      <w:pPr>
        <w:spacing w:after="0" w:line="158"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Each member of the audit committee is financially literate and our board of directors has determined that Mr. Wattenberg qualifies as an “audit committee financial expert” as defined in applicable SEC rules.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3" w:name="page104"/>
    <w:bookmarkEnd w:id="103"/>
    <w:p>
      <w:pPr>
        <w:ind w:left="440"/>
        <w:spacing w:after="0"/>
        <w:rPr>
          <w:sz w:val="20"/>
          <w:szCs w:val="20"/>
          <w:color w:val="auto"/>
        </w:rPr>
      </w:pPr>
      <w:r>
        <w:rPr>
          <w:rFonts w:ascii="Times New Roman" w:cs="Times New Roman" w:eastAsia="Times New Roman" w:hAnsi="Times New Roman"/>
          <w:sz w:val="18"/>
          <w:szCs w:val="18"/>
          <w:color w:val="auto"/>
        </w:rPr>
        <w:t>Responsibilities of the audit committee include:</w:t>
      </w:r>
    </w:p>
    <w:p>
      <w:pPr>
        <w:spacing w:after="0" w:line="225" w:lineRule="exact"/>
        <w:rPr>
          <w:sz w:val="20"/>
          <w:szCs w:val="20"/>
          <w:color w:val="auto"/>
        </w:rPr>
      </w:pPr>
    </w:p>
    <w:p>
      <w:pPr>
        <w:ind w:left="880" w:right="520" w:hanging="440"/>
        <w:spacing w:after="0" w:line="282" w:lineRule="auto"/>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replacement, and oversight of the work of the independent auditors and any other independent registered public accounting firm engaged by us;</w:t>
      </w:r>
    </w:p>
    <w:p>
      <w:pPr>
        <w:spacing w:after="0" w:line="161" w:lineRule="exact"/>
        <w:rPr>
          <w:rFonts w:ascii="Times New Roman" w:cs="Times New Roman" w:eastAsia="Times New Roman" w:hAnsi="Times New Roman"/>
          <w:sz w:val="18"/>
          <w:szCs w:val="18"/>
          <w:color w:val="auto"/>
        </w:rPr>
      </w:pPr>
    </w:p>
    <w:p>
      <w:pPr>
        <w:ind w:left="880" w:right="580" w:hanging="440"/>
        <w:spacing w:after="0" w:line="282" w:lineRule="auto"/>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161" w:lineRule="exact"/>
        <w:rPr>
          <w:rFonts w:ascii="Times New Roman" w:cs="Times New Roman" w:eastAsia="Times New Roman" w:hAnsi="Times New Roman"/>
          <w:sz w:val="18"/>
          <w:szCs w:val="18"/>
          <w:color w:val="auto"/>
        </w:rPr>
      </w:pPr>
    </w:p>
    <w:p>
      <w:pPr>
        <w:ind w:left="880" w:right="760" w:hanging="440"/>
        <w:spacing w:after="0" w:line="282" w:lineRule="auto"/>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independent auditors all relationships the auditors have with us in order to evaluate their continued independence;</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the independent auditors;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policies for audit partner rotation in compliance with applicable laws and regulations;</w:t>
      </w:r>
    </w:p>
    <w:p>
      <w:pPr>
        <w:spacing w:after="0" w:line="225" w:lineRule="exact"/>
        <w:rPr>
          <w:rFonts w:ascii="Times New Roman" w:cs="Times New Roman" w:eastAsia="Times New Roman" w:hAnsi="Times New Roman"/>
          <w:sz w:val="18"/>
          <w:szCs w:val="18"/>
          <w:color w:val="auto"/>
        </w:rPr>
      </w:pPr>
    </w:p>
    <w:p>
      <w:pPr>
        <w:ind w:left="880" w:right="120" w:hanging="440"/>
        <w:spacing w:after="0" w:line="261" w:lineRule="auto"/>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at least annually, from the independent auditors describing (i) the independent auditor’s internal quality-control procedures and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79"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party transaction required to be disclosed pursuant to Item 404 of Regulation S-K promulgated by the SEC prior to us entering into such transaction; and</w:t>
      </w:r>
    </w:p>
    <w:p>
      <w:pPr>
        <w:spacing w:after="0" w:line="161" w:lineRule="exact"/>
        <w:rPr>
          <w:rFonts w:ascii="Times New Roman" w:cs="Times New Roman" w:eastAsia="Times New Roman" w:hAnsi="Times New Roman"/>
          <w:sz w:val="18"/>
          <w:szCs w:val="18"/>
          <w:color w:val="auto"/>
        </w:rPr>
      </w:pPr>
    </w:p>
    <w:p>
      <w:pPr>
        <w:ind w:left="880" w:right="260" w:hanging="440"/>
        <w:spacing w:after="0" w:line="261" w:lineRule="auto"/>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We have established a compensation committee of the board of directors. The members of our Compensation Committee are Messrs. Master and Gandler. Mr. Master serves as chairman of the compensation committee. We have adopted a compensation committee charter, which details the principal functions of the compensation committee, including:</w:t>
      </w:r>
    </w:p>
    <w:p>
      <w:pPr>
        <w:spacing w:after="0" w:line="176" w:lineRule="exact"/>
        <w:rPr>
          <w:sz w:val="20"/>
          <w:szCs w:val="20"/>
          <w:color w:val="auto"/>
        </w:rPr>
      </w:pPr>
    </w:p>
    <w:p>
      <w:pPr>
        <w:ind w:left="880" w:right="60" w:hanging="440"/>
        <w:spacing w:after="0" w:line="266" w:lineRule="auto"/>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 in executive session at which the Chief Executive Officer is not present;</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officers;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225" w:lineRule="exact"/>
        <w:rPr>
          <w:rFonts w:ascii="Times New Roman" w:cs="Times New Roman" w:eastAsia="Times New Roman" w:hAnsi="Times New Roman"/>
          <w:sz w:val="18"/>
          <w:szCs w:val="18"/>
          <w:color w:val="auto"/>
        </w:rPr>
      </w:pPr>
    </w:p>
    <w:p>
      <w:pPr>
        <w:ind w:left="880" w:right="740" w:hanging="440"/>
        <w:spacing w:after="0" w:line="282" w:lineRule="auto"/>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4" w:name="page105"/>
    <w:bookmarkEnd w:id="104"/>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do not have a standing nominating committee, though we intend to form a corporate governance and nominating committee as and when required to do so by law or Nasdaq rules. In accordance with Rule 5605(e)(1)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shall participate in the consideration and recommendation of director nominees are Messrs. Master, Gandler, Wattenberg and Schaer. In accordance with Rule 5605(e)(1)(A) of the Nasdaq rules, all such directors are independent. As there is no standing nominating committee, we do not have a nominating committee charter in place.</w:t>
      </w:r>
    </w:p>
    <w:p>
      <w:pPr>
        <w:spacing w:after="0" w:line="189" w:lineRule="exact"/>
        <w:rPr>
          <w:sz w:val="20"/>
          <w:szCs w:val="20"/>
          <w:color w:val="auto"/>
        </w:rPr>
      </w:pPr>
    </w:p>
    <w:p>
      <w:pPr>
        <w:jc w:val="both"/>
        <w:ind w:right="100" w:firstLine="432"/>
        <w:spacing w:after="0" w:line="289" w:lineRule="auto"/>
        <w:rPr>
          <w:sz w:val="20"/>
          <w:szCs w:val="20"/>
          <w:color w:val="auto"/>
        </w:rPr>
      </w:pPr>
      <w:r>
        <w:rPr>
          <w:rFonts w:ascii="Times New Roman" w:cs="Times New Roman" w:eastAsia="Times New Roman" w:hAnsi="Times New Roman"/>
          <w:sz w:val="17"/>
          <w:szCs w:val="17"/>
          <w:color w:val="auto"/>
        </w:rPr>
        <w:t>The board of directors will also consider director candidates recommended for nomination by our shareholders during such times as they are seeking proposed nominees to stand for election at the next annual meeting of shareholders (or, if applicable, a special meeting of shareholders). Our shareholders that wish to nominate a director for election to the Board should follow the procedures set forth in our Memorandum and Articles of Association.</w:t>
      </w:r>
    </w:p>
    <w:p>
      <w:pPr>
        <w:spacing w:after="0" w:line="158" w:lineRule="exact"/>
        <w:rPr>
          <w:sz w:val="20"/>
          <w:szCs w:val="20"/>
          <w:color w:val="auto"/>
        </w:rPr>
      </w:pPr>
    </w:p>
    <w:p>
      <w:pPr>
        <w:ind w:right="120" w:firstLine="432"/>
        <w:spacing w:after="0" w:line="289" w:lineRule="auto"/>
        <w:rPr>
          <w:sz w:val="20"/>
          <w:szCs w:val="20"/>
          <w:color w:val="auto"/>
        </w:rPr>
      </w:pPr>
      <w:r>
        <w:rPr>
          <w:rFonts w:ascii="Times New Roman" w:cs="Times New Roman" w:eastAsia="Times New Roman" w:hAnsi="Times New Roman"/>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w:t>
      </w:r>
    </w:p>
    <w:p>
      <w:pPr>
        <w:spacing w:after="0" w:line="158"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Our board of directors consists of seven directors and is divided into two classes with only one class of directors being elected in each year and each class serving a two-year term. The term of office of the first class of directors, consisting of Messrs. Gandler, Wattenberg and Schaer, will expire at the first annual meeting. The term of office of the second class of directors, consisting of Messrs. Striar, Calise, Master and Davis, will expire at the second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29"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Conduct and Ethics applicable to our directors, officers and employees. We have filed a copy of our Code of Ethics and our audit and compensation committee charters as exhibits to the registration statement filed in connection with our initial public offering. You can review these documents by accessing our public filings at the SEC’s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a copy of the Code of Ethics will be provided without charge upon request from us. We intend to disclose any amendments to or waivers of certain provisions of our Code of Ethics in a Current Report on Form 8-K.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5" w:name="page106"/>
    <w:bookmarkEnd w:id="105"/>
    <w:p>
      <w:pPr>
        <w:ind w:left="48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 OF BULL HORN</w:t>
      </w:r>
    </w:p>
    <w:p>
      <w:pPr>
        <w:spacing w:after="0" w:line="239" w:lineRule="exact"/>
        <w:rPr>
          <w:sz w:val="20"/>
          <w:szCs w:val="20"/>
          <w:color w:val="auto"/>
        </w:rPr>
      </w:pPr>
    </w:p>
    <w:p>
      <w:pPr>
        <w:ind w:right="18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References to the “Company,” “us” or “we” in this section refer to Bull Horn. The following discussion and analysis of the Company’s financial condition and results of operations should be read in conjunction with the consolidated financial statements and the notes thereto contained elsewhere in this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All statements other than statements of historical fact included in this section regarding Bull Horn’s financial position, business strategy and the plans and objectives of management for future operations, are forward-looking statements. When used in this section, words such as “anticipate,” “believe,” “estimate,” “expect,” “intend” and similar expressions, as they relate to us or Bull Horn’s management, identify forward- looking statements. Such forward-looking statements are based on the beliefs of management, as well as assumptions made by, and information currently available to, Bull Horn’s management. Actual results could differ materially from those contemplated by the forward- looking statements as a result of certain factors detailed in our filings with the SEC. All subsequent written or oral forward-looking statements attributable to us or persons acting on Bull Horn’s behalf are qualified in their entirety by this paragraph.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Restatements of Previously Issued Financial Statements</w:t>
      </w:r>
    </w:p>
    <w:p>
      <w:pPr>
        <w:spacing w:after="0" w:line="229"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We previously restated our historical financial results to (i) reclassify our warrants as derivative liabilities pursuant to Accounting Standards Codification (“</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815-40 rather than as a component of equity as we had previously treated the Warrants, and (ii) to restate the value of our ordinary shares subject to possible redemption to include all ordinary shares being subject to possible redemption. The impact of these restatements is reflected in the discussion of our results of operations below and is as disclosed in Note 2 to our audited financial statements as of and for the fiscal year ended December 31, 2020 included in Amendment No. 2 to our annual report on Form 10-K for the fiscal year ended December 31, 2020, filed with the SEC on February 2, 2022 and three months ended March 31, 2022, filed with the SEC on May 10,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We are a blank check company incorporated in the BVI on November 27, 2018 formed for the purpose of effecting a merger, amalgamation, share exchange, asset acquisition, share purchase, reorganization or other similar initial business combination with one or more businesses. We intend to effectuate our initial business combination using cash derived from the proceeds of the initial public offering and the sale of the private warrants, our shares, debt or a combination of cash, shares and debt.</w:t>
      </w:r>
    </w:p>
    <w:p>
      <w:pPr>
        <w:spacing w:after="0" w:line="180"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costs in the pursuit of our acquisition plans. We cannot assure you that our plans to complete an initial business combination will be successful.</w:t>
      </w:r>
    </w:p>
    <w:p>
      <w:pPr>
        <w:spacing w:after="0" w:line="162" w:lineRule="exact"/>
        <w:rPr>
          <w:sz w:val="20"/>
          <w:szCs w:val="20"/>
          <w:color w:val="auto"/>
        </w:rPr>
      </w:pPr>
    </w:p>
    <w:p>
      <w:pPr>
        <w:ind w:right="140" w:firstLine="432"/>
        <w:spacing w:after="0" w:line="312" w:lineRule="auto"/>
        <w:rPr>
          <w:sz w:val="20"/>
          <w:szCs w:val="20"/>
          <w:color w:val="auto"/>
        </w:rPr>
      </w:pPr>
      <w:r>
        <w:rPr>
          <w:rFonts w:ascii="Times New Roman" w:cs="Times New Roman" w:eastAsia="Times New Roman" w:hAnsi="Times New Roman"/>
          <w:sz w:val="17"/>
          <w:szCs w:val="17"/>
          <w:color w:val="auto"/>
        </w:rPr>
        <w:t>There is a risk that the Business Combination (or any other initial business combination we may have) will not close. If we fail to consummate an initial business combination by November 3, 2022, we will be required to liquidate our trust account, each as described elsewhere in this proxy statement.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7"/>
          <w:szCs w:val="17"/>
          <w:color w:val="auto"/>
        </w:rPr>
        <w:t>On April 18, 2022, we entered into the Merger Agreement with Merger Sub and Coeptis, pursuant to which, subject to the terms and conditions set forth therein, (i) prior to the Closing, we will re-domicile from the British Virgin Islands to the State of Delaware through a statutory re-domestication, and</w:t>
      </w:r>
    </w:p>
    <w:p>
      <w:pPr>
        <w:spacing w:after="0" w:line="1" w:lineRule="exact"/>
        <w:rPr>
          <w:sz w:val="20"/>
          <w:szCs w:val="20"/>
          <w:color w:val="auto"/>
        </w:rPr>
      </w:pPr>
    </w:p>
    <w:p>
      <w:pPr>
        <w:ind w:right="440" w:firstLine="8"/>
        <w:spacing w:after="0" w:line="260" w:lineRule="auto"/>
        <w:tabs>
          <w:tab w:leader="none" w:pos="26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Merger Sub will merge with and into Coeptis, with Coeptis continuing as the surviving corporation in the Merger and a wholly-owned subsidiary of the Company (after the Domestication). See the section entitled “</w:t>
      </w:r>
      <w:r>
        <w:rPr>
          <w:rFonts w:ascii="Times New Roman" w:cs="Times New Roman" w:eastAsia="Times New Roman" w:hAnsi="Times New Roman"/>
          <w:sz w:val="18"/>
          <w:szCs w:val="18"/>
          <w:i w:val="1"/>
          <w:iCs w:val="1"/>
          <w:color w:val="auto"/>
        </w:rPr>
        <w:t>Proposal 1: The Business Combination Proposal</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On April 26, 2022, we held a special meeting of our shareholders. At the special meeting, our shareholders approved an amendment to our Amended and Restated Memorandum and Articles of Association to extend the date by which we must consummate our initial business combination from May 3, 2022 to November 3, 2022. On April 27, 2022, we filed an amended and restated copy of the Amended and Restated Memorandum and Articles of Association with the Registrar of Corporate Affairs of the British Virgin Islands, effective the same day. In connection with the special meeting, shareholders holding 4,258,586 public shares exercised their right to redeem their shares for a pro rata portion of the funds in the trust account. As a result, approximately $43.0 million (approximately $10.10 per public share) was removed from the trust account immediately after the redemption to pay such holders and approximately $33.0 million remained in the trust account as of June 30, 2022. Following redemptions, we have 3,241,414 public shares outstanding and the sponsor agreed to lend Bull Horn $66,667 (or approximately $0.02 per public share that remains outstanding) per month to deposit into the trust account in connection with the extension of our termination date from May 3, 2022 to November 3, 2022. On May 2, 2022, we issued a promissory note to the sponsor in connection with such loan, which bears no interest and is repayable in full upon the earlier of (a) the date of the consummation of our initial business combination, or (b) the date of our liquidation. If the initial business combination is not consummated by November 3, 2022, then our existence will terminate, and we will distribute all amounts in the trust account.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operating revenues to date. Our only activities from inception through June 30, 2022, were organizational activities and those necessary to prepare for the initial public offering, described below, and identifying a target company for an initial business combination. We do not expect to generate any operating revenues until after the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searching for, and completing, an initial business combination.</w:t>
      </w:r>
    </w:p>
    <w:p>
      <w:pPr>
        <w:spacing w:after="0" w:line="187"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we had net loss of $204,753, which consisted of change in fair value of warrant liabilities of $599,176, interest income on marketable securities and other interest of $49,479, offset by operating costs of $852,808 and change in fair value of convertible promissory note of $600.</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six months ended June 30, 2022, we had net income of $2,980,041, which consisted of change in fair value of warrant liabilities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$4,197,000 and interest income on marketable securities and other interest of $56,232, offset by operating costs of $1,272,591 and change of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promissory note of $600.</w:t>
      </w:r>
    </w:p>
    <w:p>
      <w:pPr>
        <w:spacing w:after="0" w:line="207" w:lineRule="exact"/>
        <w:rPr>
          <w:sz w:val="20"/>
          <w:szCs w:val="20"/>
          <w:color w:val="auto"/>
        </w:rPr>
      </w:pPr>
    </w:p>
    <w:p>
      <w:pPr>
        <w:jc w:val="both"/>
        <w:ind w:right="160" w:firstLine="43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we had net income of $15,229,329, which consisted of interest income on marketable securities held in the trust account of $7,577, other interest income of $71, and change in fair value of warrant liabilities of $15,903,000, offset by operating costs of $681,319.</w:t>
      </w:r>
    </w:p>
    <w:p>
      <w:pPr>
        <w:spacing w:after="0" w:line="162"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we had net loss of $17,279,776, which consisted of operating costs of $68,430, transaction costs allocated to the warrant liabilities of $112,550 and changes in fair value of warrant liability of $17,100,000, offset by interest earned on marketable securities held in trust account of $1,204.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On November 3, 2020, we consummated our initial public offering of 7,500,000 Units, at a price of $10.00 per Unit, generating gross proceeds of $75,000,000. Simultaneously with the closing of the initial public offering, we consummated the sale of 3,750,000 private warrants to our sponsor and the underwriters of our initial public offering at a price of $1.00 per private warrant generating gross proceeds of $3,750,000.</w:t>
      </w:r>
    </w:p>
    <w:p>
      <w:pPr>
        <w:spacing w:after="0" w:line="176" w:lineRule="exact"/>
        <w:rPr>
          <w:sz w:val="20"/>
          <w:szCs w:val="20"/>
          <w:color w:val="auto"/>
        </w:rPr>
      </w:pPr>
    </w:p>
    <w:p>
      <w:pPr>
        <w:jc w:val="both"/>
        <w:ind w:right="720" w:firstLine="432"/>
        <w:spacing w:after="0" w:line="312" w:lineRule="auto"/>
        <w:rPr>
          <w:sz w:val="20"/>
          <w:szCs w:val="20"/>
          <w:color w:val="auto"/>
        </w:rPr>
      </w:pPr>
      <w:r>
        <w:rPr>
          <w:rFonts w:ascii="Times New Roman" w:cs="Times New Roman" w:eastAsia="Times New Roman" w:hAnsi="Times New Roman"/>
          <w:sz w:val="17"/>
          <w:szCs w:val="17"/>
          <w:color w:val="auto"/>
        </w:rPr>
        <w:t>Following the initial public offering and the sale of the private warrants, a total of $75,750,000 was placed in the trust account. We incurred $4,243,264 in transaction costs, including $1,500,000 of underwriting fees, $2,250,000 of deferred underwriting fees and $493,264 of other costs.</w:t>
      </w:r>
    </w:p>
    <w:p>
      <w:pPr>
        <w:spacing w:after="0" w:line="140"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cash used in operating activities was $494,012. Net income of $2,980,041 was impacted by interest income on marketable securities held in the trust account of $56,183, change in fair value of warrant liabilities of $4,197,000 and change in fair value of convertible promissory note of $600. Changes in operating assets and liabilities provided $778,530 of cash from operating activities.</w:t>
      </w:r>
    </w:p>
    <w:p>
      <w:pPr>
        <w:spacing w:after="0" w:line="176"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cash used in operating activities was $502,839. Net income of $15,229,329 was impacted by interest income on marketable securities held in the trust account of $7,577 and change in fair value of warrant liabilities of $15,903,000. Changes in operating assets and liabilities provided $178,409 of cash from operating activities.</w:t>
      </w:r>
    </w:p>
    <w:p>
      <w:pPr>
        <w:spacing w:after="0" w:line="17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cash used in operating activities was $115,695. Net loss of $17,279,776 was impacted by interest earned on marketable securities held in trust account of $1,204, change in fair value of warrant liabilities of $17,100,000 and transaction costs allocable to the warrant liabilities of $112,550. Changes in operating assets and liabilities used $47,265 of cash from operating activities.</w:t>
      </w:r>
    </w:p>
    <w:p>
      <w:pPr>
        <w:spacing w:after="0" w:line="176"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As of June 30, 2022, and December 31, 2021, we had marketable securities held in the trust account of $32,989,082 and $75,758,781, respectively. We intend to use substantially all of the funds held in the trust account, including any amounts representing interest earned on the trust account, which interest shall be net of taxes payable and excluding deferred underwriting commissions, to complete our business combination. We may withdraw interest from the trust account to pay taxes, if any. To the extent that our share capital or debt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87"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we had cash of $84,153 and $404,345, respectively. We are using the funds held outside the trust account primarily to identify and evaluate target businesses, perform business due diligence on prospective target businesses, travel to and from the offices or similar locations of prospective target businesses or their representatives or owners, review corporate documents and material agreements of prospective target businesses, and to structure, negotiate and complete a business combination.</w:t>
      </w:r>
    </w:p>
    <w:p>
      <w:pPr>
        <w:spacing w:after="0" w:line="18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These warrants would be identical to the private warrants.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8" w:name="page109"/>
    <w:bookmarkEnd w:id="108"/>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would be required to issue additional securities or incur debt in connection with such business combination.</w:t>
      </w:r>
    </w:p>
    <w:p>
      <w:pPr>
        <w:spacing w:after="0" w:line="187"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June 30, 2022 and December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Financial Accounting Standard Board (the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”)’s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2014-15, “Disclosures of Uncertainties about an Entity’s Ability to Continue as a Going Concern,” have until November 3, 2022, to consummate an initial business combination. It is uncertain that we will be able to consummate an initial business combination by this time or any extended deadline, if approved. If an initial business combination is not consummated by our initial deadline date or an extended deadline date (if approved), there will be a mandatory liquidation and subsequent dissolution of our company. Management has determined that the mandatory liquidation, should an initial business combination not occur and an extension is not requested by our sponsor, and potential subsequent dissolution raises substantial doubt about our ability to continue as a going concern. No adjustments have been made to the carrying amounts of assets or liabilities should we be required to liquidate after November 3,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described below.</w:t>
      </w:r>
    </w:p>
    <w:p>
      <w:pPr>
        <w:spacing w:after="0" w:line="225"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underwriters of our initial public offering are entitled to a deferred fee of three percent (3.0%) of the gross proceeds of the initial public offering, or $2,250,000. The deferred fee will be paid in cash upon the closing of a business combination from the amounts held in the trust account, subject to the terms of the underwriting agreement. On May 4, 2022, the Company entered into a letter agreement with Imperial, I-Bankers and Northland to amend the underwriters’ deferred fee from the initial public offering due upon consummation of a Business Combination from $2,250,000 to $500,000, but only in connection with the Company’s Business Combination with Coeptis. Bull Horn has also engaged Northland to act as a placement agent for a potential financing in connection with the Business Combination. Northland will be entitled to receive 1.5% of the aggregate net proceeds of such financing as well as an advisory fee of 3.5% of the product of (i) the number of shares purchased in connection with a backstop or forward purchase or similar agreement involving investors identified by Northland and (ii) $10.10 per share.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227" w:lineRule="exact"/>
        <w:rPr>
          <w:sz w:val="20"/>
          <w:szCs w:val="20"/>
          <w:color w:val="auto"/>
        </w:rPr>
      </w:pPr>
    </w:p>
    <w:p>
      <w:pPr>
        <w:ind w:right="360" w:firstLine="432"/>
        <w:spacing w:after="0" w:line="256" w:lineRule="auto"/>
        <w:rPr>
          <w:sz w:val="20"/>
          <w:szCs w:val="20"/>
          <w:color w:val="auto"/>
        </w:rPr>
      </w:pPr>
      <w:r>
        <w:rPr>
          <w:rFonts w:ascii="Times New Roman" w:cs="Times New Roman" w:eastAsia="Times New Roman" w:hAnsi="Times New Roman"/>
          <w:sz w:val="18"/>
          <w:szCs w:val="18"/>
          <w:color w:val="auto"/>
        </w:rPr>
        <w:t>We account for our warrants in accordance with the guidance contained in ASC 815-40 under which the warrants that do not meet the criteria for equity treatment and must be recorded as liabilities. Accordingly, we classify our warrants as liabilities at their fair value and adjust the warrants to fair value at each reporting period. This liability is subject to re-measurement at each balance sheet date until exercised, and any change in fair value is recognized in our statement of operations. Our private warrants and our public warrants for periods where no observable traded price was available are valued using a binomial lattice simulation model. For periods subsequent to the detachment of the public warrants from the Units, the public warrant quoted market price was used as the fair value as of each relevant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 Subject to Redemption</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account for our ordinary shares subject to possible conversion in accordance with the guidance in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ordinary shares feature certain redemption rights that are considered to be outside of our control and subject to occurrence of uncertain future events. Accordingly, ordinary shares subject to possible redemption are presented at redemption value as temporary equity, outside of the shareholders’ deficit section of our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Ordinary Share</w:t>
      </w:r>
    </w:p>
    <w:p>
      <w:pPr>
        <w:spacing w:after="0" w:line="227"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Net income (loss) per ordinary share is computed by dividing net income (loss) by the weighted average number of ordinary shares outstanding during the period. Remeasurement associated with the redeemable ordinary shares is excluded from income (loss) per ordinary share as the redemption value approximates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22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We adopted ASU 2020-06 on January 1, 2021. Adoption of the ASU 2020-06 did not have an impact our financial position, results of operations or cash flows. Management does not believe that any other recently issued, but not yet effective, accounting standards, if currently adopted, would have a material effect on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Adversely Affect Our Results of Operations</w:t>
      </w:r>
    </w:p>
    <w:p>
      <w:pPr>
        <w:spacing w:after="0" w:line="229"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Our results of operations and our ability to complete an initial business combination may be adversely affected by various factors that could cause economic uncertainty and volatility in the financial markets, many of which are beyond our control. Our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resurgences and the emergence of new variants, and geopolitical instability, such as the military conflict in the Ukraine. We cannot at this time fully predict the likelihood of one or more of the above events, their duration or magnitude or the extent to which they may negatively impact our business and our ability to complete an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MANAGEMENT OF THE COMPANY FOLLOWING THE BUSINESS COMBINATION</w:t>
      </w:r>
    </w:p>
    <w:p>
      <w:pPr>
        <w:spacing w:after="0" w:line="229"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The Company Board following the Business Combination is expected to be comprised of the following seven directors: David Mehalick, Daniel Yerace, Christopher Calise, Tara Maria DeSilva, Philippe Deschamps, Christopher Cochran and Gene Salkind.</w:t>
      </w:r>
    </w:p>
    <w:p>
      <w:pPr>
        <w:spacing w:after="0" w:line="16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Each director will hold office until his or her term expires at the next annual meeting of stockholders for such director’s class or until his or her death, resignation, removal or the earlier termination of his or her term of office.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Coeptis’ management team is expected to be comprised of the following individuals following the Business Combination: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360" w:type="dxa"/>
            <w:vAlign w:val="bottom"/>
            <w:tcBorders>
              <w:top w:val="single" w:sz="8" w:color="auto"/>
              <w:bottom w:val="single" w:sz="8" w:color="auto"/>
            </w:tcBorders>
          </w:tcPr>
          <w:p>
            <w:pPr>
              <w:ind w:left="47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736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Daniel Yerace</w:t>
            </w:r>
          </w:p>
        </w:tc>
        <w:tc>
          <w:tcPr>
            <w:tcW w:w="73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 and Vice President of Operations</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736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bl>
    <w:p>
      <w:pPr>
        <w:spacing w:after="0" w:line="198"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The officers of the Company and the Company Board following the Business Combination are well qualified as leaders. Certain of the Company’s directors following the Business Combination also have experience serving on boards of directors and board committees of other public companies and private companies, and have an understanding of corporate governance practices and trends, which provides an understanding of different business processes, challenges, and strategies.</w:t>
      </w:r>
    </w:p>
    <w:p>
      <w:pPr>
        <w:spacing w:after="0" w:line="180"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Each of Coeptis and Bull Horn believes that the above-mentioned attributes, along with the leadership skills and other experiences of the officers and board members described below, will provide the Company with a diverse range of perspectives and judgment necessary to facilitate the goals of the Company and be good stewards of capital.</w:t>
      </w:r>
    </w:p>
    <w:p>
      <w:pPr>
        <w:spacing w:after="0" w:line="174" w:lineRule="exact"/>
        <w:rPr>
          <w:sz w:val="20"/>
          <w:szCs w:val="20"/>
          <w:color w:val="auto"/>
        </w:rPr>
      </w:pPr>
    </w:p>
    <w:p>
      <w:pPr>
        <w:ind w:right="600" w:firstLine="432"/>
        <w:spacing w:after="0" w:line="284" w:lineRule="auto"/>
        <w:rPr>
          <w:sz w:val="20"/>
          <w:szCs w:val="20"/>
          <w:color w:val="auto"/>
        </w:rPr>
      </w:pPr>
      <w:r>
        <w:rPr>
          <w:rFonts w:ascii="Times New Roman" w:cs="Times New Roman" w:eastAsia="Times New Roman" w:hAnsi="Times New Roman"/>
          <w:sz w:val="18"/>
          <w:szCs w:val="18"/>
          <w:color w:val="auto"/>
        </w:rPr>
        <w:t xml:space="preserve">For executive compensation information for each of David Mehalick, Daniel Yerace and Christine Sheehy, see the section entitled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of Coeptis.”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Officers, Directors and Key Employees</w:t>
            </w:r>
          </w:p>
        </w:tc>
        <w:tc>
          <w:tcPr>
            <w:tcW w:w="1400" w:type="dxa"/>
            <w:vAlign w:val="bottom"/>
            <w:tcBorders>
              <w:top w:val="single" w:sz="8" w:color="auto"/>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900" w:type="dxa"/>
            <w:vAlign w:val="bottom"/>
            <w:tcBorders>
              <w:top w:val="single" w:sz="8" w:color="auto"/>
              <w:bottom w:val="single" w:sz="8" w:color="auto"/>
            </w:tcBorders>
          </w:tcPr>
          <w:p>
            <w:pPr>
              <w:ind w:left="27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14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53</w:t>
            </w: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Daniel Yerace</w:t>
            </w:r>
          </w:p>
        </w:tc>
        <w:tc>
          <w:tcPr>
            <w:tcW w:w="1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39</w:t>
            </w: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and Vice President of Operations</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Calise</w:t>
            </w:r>
          </w:p>
        </w:tc>
        <w:tc>
          <w:tcPr>
            <w:tcW w:w="14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49</w:t>
            </w: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Tara Maria DeSilva</w:t>
            </w:r>
          </w:p>
        </w:tc>
        <w:tc>
          <w:tcPr>
            <w:tcW w:w="1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54</w:t>
            </w: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Philippe Deschamps</w:t>
            </w:r>
          </w:p>
        </w:tc>
        <w:tc>
          <w:tcPr>
            <w:tcW w:w="14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60</w:t>
            </w: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Christopher Cochran</w:t>
            </w:r>
          </w:p>
        </w:tc>
        <w:tc>
          <w:tcPr>
            <w:tcW w:w="1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53</w:t>
            </w: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 Salkind</w:t>
            </w:r>
          </w:p>
        </w:tc>
        <w:tc>
          <w:tcPr>
            <w:tcW w:w="14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68</w:t>
            </w: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1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55</w:t>
            </w: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bl>
    <w:p>
      <w:pPr>
        <w:spacing w:after="0" w:line="177" w:lineRule="exact"/>
        <w:rPr>
          <w:sz w:val="20"/>
          <w:szCs w:val="20"/>
          <w:color w:val="auto"/>
        </w:rPr>
      </w:pPr>
    </w:p>
    <w:p>
      <w:pPr>
        <w:ind w:right="120" w:firstLine="432"/>
        <w:spacing w:after="0" w:line="284" w:lineRule="auto"/>
        <w:rPr>
          <w:sz w:val="20"/>
          <w:szCs w:val="20"/>
          <w:color w:val="auto"/>
        </w:rPr>
      </w:pPr>
      <w:r>
        <w:rPr>
          <w:rFonts w:ascii="Times New Roman" w:cs="Times New Roman" w:eastAsia="Times New Roman" w:hAnsi="Times New Roman"/>
          <w:sz w:val="18"/>
          <w:szCs w:val="18"/>
          <w:color w:val="auto"/>
        </w:rPr>
        <w:t>For more information about Christopher Calise, see the section entitled “</w:t>
      </w:r>
      <w:r>
        <w:rPr>
          <w:rFonts w:ascii="Times New Roman" w:cs="Times New Roman" w:eastAsia="Times New Roman" w:hAnsi="Times New Roman"/>
          <w:sz w:val="18"/>
          <w:szCs w:val="18"/>
          <w:i w:val="1"/>
          <w:iCs w:val="1"/>
          <w:color w:val="auto"/>
        </w:rPr>
        <w:t>Directors, Officers, Executive Compensation and Corporate Governance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Bull Horn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540" w:firstLine="432"/>
        <w:spacing w:after="0" w:line="284" w:lineRule="auto"/>
        <w:rPr>
          <w:sz w:val="20"/>
          <w:szCs w:val="20"/>
          <w:color w:val="auto"/>
        </w:rPr>
      </w:pPr>
      <w:r>
        <w:rPr>
          <w:rFonts w:ascii="Times New Roman" w:cs="Times New Roman" w:eastAsia="Times New Roman" w:hAnsi="Times New Roman"/>
          <w:sz w:val="18"/>
          <w:szCs w:val="18"/>
          <w:color w:val="auto"/>
        </w:rPr>
        <w:t>For more information about David Mehalick, Daniel Yerace and Christine Sheehy see the section entitled “</w:t>
      </w:r>
      <w:r>
        <w:rPr>
          <w:rFonts w:ascii="Times New Roman" w:cs="Times New Roman" w:eastAsia="Times New Roman" w:hAnsi="Times New Roman"/>
          <w:sz w:val="18"/>
          <w:szCs w:val="18"/>
          <w:i w:val="1"/>
          <w:iCs w:val="1"/>
          <w:color w:val="auto"/>
        </w:rPr>
        <w:t>Executive Officers and Directors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Coeptis.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ind w:right="40"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Tara Maria DeSilva, Ph.D</w:t>
      </w:r>
      <w:r>
        <w:rPr>
          <w:rFonts w:ascii="Times New Roman" w:cs="Times New Roman" w:eastAsia="Times New Roman" w:hAnsi="Times New Roman"/>
          <w:sz w:val="18"/>
          <w:szCs w:val="18"/>
          <w:color w:val="auto"/>
        </w:rPr>
        <w:t>. will serve as one of the directors of the Company upon consummation of the Business Combination. Dr. DeSilva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an Associate Professor at the Cleveland Clinic and Case Western Reserve University School of Medicine since March 2016. She serves as Vice Chair for the Department of Neurosciences, Lerner Research Institute, Cleveland Clinic. She was an Assistant Professor at University of Alabama at Birmingham from January 2010 to February 2016. Dr. DeSilva receives funding from the National Institutes of Health, National Science Foundation, and the National Multiple Sclerosis Society. She serves on many government and foundation scientific grant review panels including the National Institutes of Health and National Multiple Sclerosis Society. Dr. DeSilva received her B.S. in Biochemistry from Albright College, her M.S. and Ph.D. in Biological Chemistry from the University of Pennsylvania and completed her postdoctoral training at Children’s Hospital Boston, Harvard Medical School. We believe Dr. DeSilva is well qualified to serve on the board due to her expertise in neuroscience and research.</w:t>
      </w:r>
    </w:p>
    <w:p>
      <w:pPr>
        <w:spacing w:after="0" w:line="18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Philippe Deschamps </w:t>
      </w:r>
      <w:r>
        <w:rPr>
          <w:rFonts w:ascii="Times New Roman" w:cs="Times New Roman" w:eastAsia="Times New Roman" w:hAnsi="Times New Roman"/>
          <w:sz w:val="18"/>
          <w:szCs w:val="18"/>
          <w:color w:val="auto"/>
        </w:rPr>
        <w:t>will serve as one of the directors of the Company upon consummation of the Business Combination. Mr. Deschamps is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healthcare executive who has served as CEO of four companies over the last 20 years. Since March 2022, Mr. Deschamps has served as the President and CEO of Ortho Regenerative Technologies, where he is focused primarily on expansion of commercial uses for the company’s proprietary bio-polymer drug combination products. From 2012 to 2020, he co-founded and served as CEO of Helius Medical Technologies (Nasdaq: HSDT), a neurotech company. From 2002 to 2011, he served as President and CEO of GSW Worldwide, a leading healthcare commercialization company, and from 2011 to 2012 served as CEO of MediMedia Health, a private equity owned company. Prior to his CEO experience he spent 13 years at Bristol-Myers Squibb (NYSE: BMY) from 1986 to 1998, including serving as director of neuroscience marketing from where he oversaw the company’s neuroscience products including BuSpar and Serzone and Stadol NS. Mr. Deschamps also holds the position as President of Deschamps Global Commercialization LLC, a healthcare commercialization consulting company he founded where he has served clients as a consultant in the pharmaceutical and medical tech industries from 2020 to 2022. Mr. Deschamps received a BSc. from the University of Ottawa in Canada. We believe Mr. Deschamps is well qualified to serve on the board due to his extensive experience in the healthcare industry and his public company experience.</w:t>
      </w:r>
    </w:p>
    <w:p>
      <w:pPr>
        <w:spacing w:after="0" w:line="182"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Cochran </w:t>
      </w:r>
      <w:r>
        <w:rPr>
          <w:rFonts w:ascii="Times New Roman" w:cs="Times New Roman" w:eastAsia="Times New Roman" w:hAnsi="Times New Roman"/>
          <w:sz w:val="18"/>
          <w:szCs w:val="18"/>
          <w:color w:val="auto"/>
        </w:rPr>
        <w:t>will serve as one of the directors of the Company upon consummation of the Business Combination. Mr. Cochran is 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President of BluChip Solutions, a provider of IT solutions for complex problems, an entity that he founded in 2008. From March 2012 to May 2013, Mr. Cochran held leadership positions within different companies, including serving as the EVP of Sales &amp; Marketing for Velocity World Media, a private experiential television network. Additionally, from March 2010 to February 2012, Mr. Cochran worked as an Enterprise Cloud Sales Executive for Hewlett Packard Enterprise. From April 2008 to January 2010, Mr. Cochran served as the Executive Director of Sales and Operations for ASGN Inc. (NYSE: ASGN), formerly Apex Systems, a leading provider of IT services. From 2008 to 2010, Mr. Cochran worked at Mastech Digital (Nasdaq: MHH), a publicly-traded company, where he held various roles, including Senior Vice President of Global Sales and Operations from February 2004 to April 2008, where he reported directly to the CEO. From May 2014 to May 2016, Mr. Cochran served on the Board of Trustees for the Pine-Richland Opportunities Fund, a non-profit educational foundation providing staff grants and student scholarships, and he currently serves as Director of the Christian Cochran Legacy Fund through the Pittsburgh Foundation. Mr. Cochran received his Bachelor of Science in Public Administration and International Law from the University of Tennessee in 1993. We believe Mr. Cochran is well qualified to serve on the board due to his public company experience and expertise in business operations.</w:t>
      </w:r>
    </w:p>
    <w:p>
      <w:pPr>
        <w:spacing w:after="0" w:line="190"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Gene Salkind, M.D</w:t>
      </w:r>
      <w:r>
        <w:rPr>
          <w:rFonts w:ascii="Times New Roman" w:cs="Times New Roman" w:eastAsia="Times New Roman" w:hAnsi="Times New Roman"/>
          <w:sz w:val="18"/>
          <w:szCs w:val="18"/>
          <w:color w:val="auto"/>
        </w:rPr>
        <w:t>. will serve as one of the directors of the Company upon consummation of the Business Combination. Mr. Salkind has been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practicing neurosurgeon within the Philadelphia area for more than 35 years. He graduated from the University of Pennsylvania in 1974 with a B.A., Cum Laude, and received his medical degree from the Lewis Katz School of Medicine in 1979. He returned to the University of Pennsylvania for his neurosurgical residency, and in 1985 was selected as the Chief Resident in Neurosurgery at the Hospital of the University of Pennsylvania. Since 1985, Dr. Salkind has served in a university affiliated practice of general neurological surgery. Since 2005, Dr. Salkind has served as the Chief of Neurosurgery at Holy Redeemer Hospital. He previously served as the Chief of Neurosurgery at Albert Einstein Medical Center and Jeanes Hospital in Philadelphia in the late 1990s. He has authored numerous peer reviewed journal articles and has given lectures throughout the country on various neurosurgical topics. He has also held professorships at the University of Pennsylvania, the Allegheny Health Education and Research Foundation, and is currently at the Lewis Katz School of Medicine. Since 2019, Dr. Salkind has also been on the board of directors of Cure Pharmaceutical Corporation (OTCMKTS: CURR), a biopharmaceutical company focusing on the development and manufacturing of drug formulation and drug delivery technologies in novel dosage forms, and has been the Chairman of Mobiquity Technologies Inc. (Nasdaq: MOBQ), a leading provider of next-generation advertising technology. Dr. Salkind is also a member of the Strategic Advisory Board of BioSymetrics Inc., a company that has built data servicing tools to benefit health and health and hospital systems, biopharma, drug discovery, and the precision medicine field. In addition, from 2004 to 2019, Dr. Salkind served as a board member of Derm Tech International, a global leader in non-invasive dermatological molecular diagnostics. We believe Dr. Salkind is well qualified to serve on the board due to his expertise in life science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Company Board will adopt a Code of Business Conduct and Ethics that applies to all of its employees, officers and directors, including its Chief Executive Officer, Chief Financial Officer and other executive and senior financial officers. The full text of the Company’s Code of Business Conduct and Ethics will be posted on the Corporate Governance portion of the Company’s website. The Company will post amendments to its Code of Business Conduct and Ethics or waivers of its Code of Business Conduct and Ethics for directors and officers on the same website or in a current report on Form 8-K.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Company’s business affairs will be managed under the direction of the Company Board. The Company Board will consist of seven members, four of whom will qualify as independent within the meaning of the independent director guidelines of Nasdaq. Three will not be considered independent.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Christopher Calise and Tara Maria DeSilva are first cousins. Other than that, there are no family relationships among any of our executive officers or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Common Stock will be listed on Nasdaq.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additional independence criteria set forth in Rule 10A-3 of the Exchange Act and the rules of Nasdaq. Compensation committee members must also satisfy the additional independence criteria set forth in Rule 10C-1 under the Exchange Act and the rules of Nasdaq.</w:t>
      </w:r>
    </w:p>
    <w:p>
      <w:pPr>
        <w:spacing w:after="0" w:line="189" w:lineRule="exact"/>
        <w:rPr>
          <w:sz w:val="20"/>
          <w:szCs w:val="20"/>
          <w:color w:val="auto"/>
        </w:rPr>
      </w:pPr>
    </w:p>
    <w:p>
      <w:pPr>
        <w:ind w:right="400" w:firstLine="432"/>
        <w:spacing w:after="0" w:line="261" w:lineRule="auto"/>
        <w:rPr>
          <w:sz w:val="20"/>
          <w:szCs w:val="20"/>
          <w:color w:val="auto"/>
        </w:rPr>
      </w:pPr>
      <w:r>
        <w:rPr>
          <w:rFonts w:ascii="Times New Roman" w:cs="Times New Roman" w:eastAsia="Times New Roman" w:hAnsi="Times New Roman"/>
          <w:sz w:val="18"/>
          <w:szCs w:val="18"/>
          <w:color w:val="auto"/>
        </w:rPr>
        <w:t>In order to be considered independent for purposes of Rule 10A-3 under the Exchange Act and under the rules of Nasdaq, a member of an audit committee of a listed company may not, other than in his or her capacity as a member of the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0"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To be considered independent for purposes of Rule 10C-1 under the Exchange Act and under the rules of Nasdaq, the board of directors must affirmatively determine that the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8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Bull Horn Board has undertaken a review of the independence of each director and considered whether each director of the Company has a material relationship with the Company that could compromise his or her ability to exercise independent judgment in carrying out his or her responsibilities. As a result of this review, Bull Horn anticipates that Tara Maria DeSilva, Christopher Cochran, Philippe Deschamps and Gene Salkind will be considered “independent directors” as defined under the listing rules of the Exchange Act and Christopher Calise will be considered an “independent director” as defined under the listing requirements and rules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Both Coeptis and Bull Horn believe that the structure of the Company Board and its committees will provide strong overall management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Company Board</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Company Board will have an audit committee, compensation committee and nominating and corporate governance committee. All of the committees will comply with all applicable requirements of the Sarbanes-Oxley Act, Nasdaq and SEC rules and regulations as further described below. The responsibilities of each of the committees of the Company Board is described below. Members will serve on these committees until their resignation or until as otherwise determined by the Company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Upon the completion of the Business Combination, the Company Board will have an audit committee. It is expected that the audit committee will initially consist of Christopher Cochran, Philippe Deschamps and Gene Salkind. Each of the members of the Company’s audit committee will satisfy the requirements for independence and financial literacy under the applicable rules and regulations of the SEC and rules of Nasdaq. Philippe Deschamps qualifies as an “audit committee financial expert” as defined in the SEC rules and will satisfy the financial sophistication requirements of Nasdaq. The Company’s audit committee will be responsible for, among other things:</w:t>
      </w:r>
    </w:p>
    <w:p>
      <w:pPr>
        <w:spacing w:after="0" w:line="183" w:lineRule="exact"/>
        <w:rPr>
          <w:sz w:val="20"/>
          <w:szCs w:val="20"/>
          <w:color w:val="auto"/>
        </w:rPr>
      </w:pPr>
    </w:p>
    <w:p>
      <w:pPr>
        <w:jc w:val="both"/>
        <w:ind w:left="880" w:right="160" w:hanging="440"/>
        <w:spacing w:after="0" w:line="266" w:lineRule="auto"/>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recommending that the Company Board submit for stockholder ratification, if applicable) compensate, retain and oversee the work performed by the independent auditor retained for the purpose of preparing or issuing an audit report or performing other audit or audit-related services;</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and independence of the independent auditor;</w:t>
      </w:r>
    </w:p>
    <w:p>
      <w:pPr>
        <w:spacing w:after="0" w:line="252" w:lineRule="exact"/>
        <w:rPr>
          <w:rFonts w:ascii="Times New Roman" w:cs="Times New Roman" w:eastAsia="Times New Roman" w:hAnsi="Times New Roman"/>
          <w:sz w:val="18"/>
          <w:szCs w:val="18"/>
          <w:color w:val="auto"/>
        </w:rPr>
      </w:pPr>
    </w:p>
    <w:p>
      <w:pPr>
        <w:ind w:left="880" w:right="260" w:hanging="440"/>
        <w:spacing w:after="0" w:line="282" w:lineRule="auto"/>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review, and non-audit services (including any internal control-related services) to be provided to the Company or its subsidiaries by the independent auditor;</w:t>
      </w:r>
    </w:p>
    <w:p>
      <w:pPr>
        <w:spacing w:after="0" w:line="161"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registered public accounting firm, the Company’s interim and year-end financial statements;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policies on and oversees risk assessment and risk management, including enterprise risk management;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internal control policies and procedures and the Company’s disclosure controls and procedures.</w:t>
      </w:r>
    </w:p>
    <w:p>
      <w:pPr>
        <w:spacing w:after="0" w:line="225"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Company Board will adopt a written charter for the audit committee which will be available on the Company’s website upon the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Upon the completion of the Business Combination, the Company Board will have a compensation committee. It is expected that the compensation committee will initially consist of Christopher Cochran, Gene Salkind and Tara Maria DeSilva. Each of the members of the Company’s compensation committee will meet the requirements for independence under the under the applicable rules and regulations of the SEC and rules of Nasdaq. The Company’s compensation committee will be responsible for, among other things:</w:t>
      </w:r>
    </w:p>
    <w:p>
      <w:pPr>
        <w:spacing w:after="0" w:line="180" w:lineRule="exact"/>
        <w:rPr>
          <w:sz w:val="20"/>
          <w:szCs w:val="20"/>
          <w:color w:val="auto"/>
        </w:rPr>
      </w:pPr>
    </w:p>
    <w:p>
      <w:pPr>
        <w:ind w:left="880" w:hanging="440"/>
        <w:spacing w:after="0"/>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reviewing compensation policies and practices applicable to executive officers;</w:t>
      </w:r>
    </w:p>
    <w:p>
      <w:pPr>
        <w:spacing w:after="0" w:line="225"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recommend for approval by the Board, compensation for executive officers, including without limitation salary, bonus, incentive compensation, perquisites, and equity compensation;</w:t>
      </w:r>
    </w:p>
    <w:p>
      <w:pPr>
        <w:spacing w:after="0" w:line="161" w:lineRule="exact"/>
        <w:rPr>
          <w:rFonts w:ascii="Times New Roman" w:cs="Times New Roman" w:eastAsia="Times New Roman" w:hAnsi="Times New Roman"/>
          <w:sz w:val="18"/>
          <w:szCs w:val="18"/>
          <w:color w:val="auto"/>
        </w:rPr>
      </w:pPr>
    </w:p>
    <w:p>
      <w:pPr>
        <w:ind w:left="880" w:right="160" w:hanging="440"/>
        <w:spacing w:after="0" w:line="282" w:lineRule="auto"/>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determining compensation and benefits, including equity awards, to directors for service on the Company Board or any committee thereof;</w:t>
      </w:r>
    </w:p>
    <w:p>
      <w:pPr>
        <w:spacing w:after="0" w:line="161" w:lineRule="exact"/>
        <w:rPr>
          <w:rFonts w:ascii="Times New Roman" w:cs="Times New Roman" w:eastAsia="Times New Roman" w:hAnsi="Times New Roman"/>
          <w:sz w:val="18"/>
          <w:szCs w:val="18"/>
          <w:color w:val="auto"/>
        </w:rPr>
      </w:pPr>
    </w:p>
    <w:p>
      <w:pPr>
        <w:ind w:left="880" w:right="200" w:hanging="440"/>
        <w:spacing w:after="0" w:line="282" w:lineRule="auto"/>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administering and evaluating incentive, equity-based and other compensatory plans of the Company in which executive officers and key employees participate; and</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making recommendations to the Company Board regarding incentive compensation and equity compensation plans.</w:t>
      </w:r>
    </w:p>
    <w:p>
      <w:pPr>
        <w:spacing w:after="0" w:line="225"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Company Board will adopt a written charter for the compensation committee which will be available on its website upon the completion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Upon the completion of the Business Combination, the Company Board will have a nominating and corporate governance committee. It is expected that the nominating and corporate governance committee will initially consist of Christopher Cochran, Gene Salkind and Tara Maria DeSilva. Each of the members of the nominating and corporate governance committee will meet the requirements for independence under the applicable rules and regulations of the SEC and rules of Nasdaq. The nominating and corporate governance committee is responsible for, among other things:</w:t>
      </w:r>
    </w:p>
    <w:p>
      <w:pPr>
        <w:spacing w:after="0" w:line="180" w:lineRule="exact"/>
        <w:rPr>
          <w:sz w:val="20"/>
          <w:szCs w:val="20"/>
          <w:color w:val="auto"/>
        </w:rPr>
      </w:pPr>
    </w:p>
    <w:p>
      <w:pPr>
        <w:ind w:left="880" w:hanging="440"/>
        <w:spacing w:after="0"/>
        <w:tabs>
          <w:tab w:leader="none" w:pos="8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qualified to become Board members, consistent with criteria approved by the Board;</w:t>
      </w:r>
    </w:p>
    <w:p>
      <w:pPr>
        <w:spacing w:after="0" w:line="225" w:lineRule="exact"/>
        <w:rPr>
          <w:rFonts w:ascii="Times New Roman" w:cs="Times New Roman" w:eastAsia="Times New Roman" w:hAnsi="Times New Roman"/>
          <w:sz w:val="18"/>
          <w:szCs w:val="18"/>
          <w:color w:val="auto"/>
        </w:rPr>
      </w:pPr>
    </w:p>
    <w:p>
      <w:pPr>
        <w:ind w:left="880" w:right="380" w:hanging="440"/>
        <w:spacing w:after="0" w:line="282" w:lineRule="auto"/>
        <w:tabs>
          <w:tab w:leader="none" w:pos="8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persons to be nominated for election as directors by stockholders and the persons (if any) to be elected by the Board to fill any vacancies on the Board;</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directors to be appointed to each committee of the Board;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the Board corporate governance guidelines;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Board.</w:t>
      </w:r>
    </w:p>
    <w:p>
      <w:pPr>
        <w:spacing w:after="0" w:line="22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Company Board will adopt a written charter for the nominating and corporate governance committee which will be available on its website upon the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None of the Company’s officers currently serves, and in the past year has not served, (i) as a member of the compensation committee or the board of directors of another entity, one of whose officers served on the Company’s compensation committee, or (ii) as a member of the compensation committee of another entity, one of whose officers served on the Company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Policy of the Company</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Company will adopt a formal written policy that will be effective upon the Business Combination providing that the Company’s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Company’s audit committee.</w:t>
      </w:r>
    </w:p>
    <w:p>
      <w:pPr>
        <w:spacing w:after="0" w:line="183"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or any series of similar transactions, arrangements or relationships, in which the Company (including any of its subsidiaries) was, is or will be a participant and the aggregate amount involved will or may be expected to exceed $150,000 and in which any related person had, has or will have a direct or indirect material interest.</w:t>
      </w:r>
    </w:p>
    <w:p>
      <w:pPr>
        <w:spacing w:after="0" w:line="176"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Under the policy, the Company will collect information that the Company deems reasonably necessary from each director, executive officer and, to the extent feasible, significant stockholder, to enable the Company to identify any existing or potential related-person transactions and to effectuate the terms of the policy. In addition, under the Code of Conduct, employees and directors have an affirmative responsibility to disclose any transaction or relationship that reasonably could be expected to give rise to a conflict of interest.</w:t>
      </w:r>
    </w:p>
    <w:p>
      <w:pPr>
        <w:spacing w:after="0" w:line="180"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policy will require that, in determining whether to approve, ratify or reject a related person transaction, the Company’s audit committee, or other independent body of the Company Board, must consider all of the relevant facts and circumstances available to them, including (if applicable) but not limited to: (a) the benefits to the Company; (b) the impact on a director’s independence in the event the related person is a director, an immediately family member of a director or an entity in which a director is a partner, shareholder or executive officer; (c) the availability of other sources for comparable products or services; (d) the terms of the transaction; aI(e) the terms available to unrelated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Combined Company Non-Employee Director Compensation Policy</w:t>
      </w:r>
    </w:p>
    <w:p>
      <w:pPr>
        <w:spacing w:after="0" w:line="229"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Company Board will adopt a director compensation policy for its non-employee directors to be in effect after the completion of the Business Combination. Coeptis anticipates that such policy will include an annual cash retainer for all non-employee directors in amounts customary for companies of similar size in the same industry, in addition to equity grants determined by the compensation committee and reimbursement for reasonable expenses incurred in connection with attending board and committee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16" w:name="page117"/>
    <w:bookmarkEnd w:id="116"/>
    <w:p>
      <w:pPr>
        <w:ind w:left="2160"/>
        <w:spacing w:after="0"/>
        <w:rPr>
          <w:sz w:val="20"/>
          <w:szCs w:val="20"/>
          <w:color w:val="auto"/>
        </w:rPr>
      </w:pPr>
      <w:r>
        <w:rPr>
          <w:rFonts w:ascii="Times New Roman" w:cs="Times New Roman" w:eastAsia="Times New Roman" w:hAnsi="Times New Roman"/>
          <w:sz w:val="18"/>
          <w:szCs w:val="18"/>
          <w:b w:val="1"/>
          <w:bCs w:val="1"/>
          <w:color w:val="auto"/>
        </w:rPr>
        <w:t>DESCRIPTION OF COEPTIS’, BULL HORN’S, AND THE COMPANY’S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Coeptis’ Securities Prior to the Business Combination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May 17, 2022, Coeptis’ authorized capital stock consists of (a) 750,000,000 shares of common stock, $.0001 par value per share; and</w:t>
      </w:r>
    </w:p>
    <w:p>
      <w:pPr>
        <w:spacing w:after="0" w:line="27" w:lineRule="exact"/>
        <w:rPr>
          <w:sz w:val="20"/>
          <w:szCs w:val="20"/>
          <w:color w:val="auto"/>
        </w:rPr>
      </w:pPr>
    </w:p>
    <w:p>
      <w:pPr>
        <w:ind w:right="260" w:firstLine="8"/>
        <w:spacing w:after="0" w:line="260" w:lineRule="auto"/>
        <w:tabs>
          <w:tab w:leader="none" w:pos="2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$.0001 par value per share, of which 2,530,968 shares have been designated, as follows: (1) Series A Preferred Stock, 530,968 shares authorized; and (2) Series B Convertible Preferred Stock, 2,000,000 shares authorized.</w:t>
      </w:r>
    </w:p>
    <w:p>
      <w:pPr>
        <w:spacing w:after="0" w:line="181" w:lineRule="exact"/>
        <w:rPr>
          <w:sz w:val="20"/>
          <w:szCs w:val="20"/>
          <w:color w:val="auto"/>
        </w:rPr>
      </w:pPr>
    </w:p>
    <w:p>
      <w:pPr>
        <w:jc w:val="both"/>
        <w:ind w:right="280" w:firstLine="432"/>
        <w:spacing w:after="0" w:line="266" w:lineRule="auto"/>
        <w:rPr>
          <w:sz w:val="20"/>
          <w:szCs w:val="20"/>
          <w:color w:val="auto"/>
        </w:rPr>
      </w:pPr>
      <w:r>
        <w:rPr>
          <w:rFonts w:ascii="Times New Roman" w:cs="Times New Roman" w:eastAsia="Times New Roman" w:hAnsi="Times New Roman"/>
          <w:sz w:val="18"/>
          <w:szCs w:val="18"/>
          <w:color w:val="auto"/>
        </w:rPr>
        <w:t>As of the Record Date, there were (x) 43,207,163 shares of Coeptis’ common stock issued and outstanding, held by 470 holders of record; (y) no shares of Series A Preferred Stock issued and outstanding; and (z) 8,000 shares of Series B Convertible Preferred Stock issued and outstanding, held by one (1) holder of record.</w:t>
      </w:r>
    </w:p>
    <w:p>
      <w:pPr>
        <w:spacing w:after="0" w:line="176"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following summary of Coeptis’ capital stock and certificate of incorporation and bylaws does not purport to be complete and is qualified in its entirety by reference to the provisions of applicable law and to Coeptis’ certificate of incorporation and bylaws, which will be provided upon request. The information on our website is deemed not to be incorporated in this proxy statement or to be part of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holders of Coeptis’ common stock are entitled to one vote per share on all matters submitted to a vote of the stockholders, including the election of directors. Generally, all matters to be voted on by stockholders must be approved by a majority (or, in the case of election of directors, by a plurality) of the votes entitled to be cast by all shares of Coeptis’ common stock (including our common stock underlying the Series B Convertible Preferred Stock) that are present in person or represented by proxy. Except as otherwise provided by law, amendments to Coeptis’ Certificate of Incorporation generally must be approved by a majority of the votes entitled to be cast by all outstanding shares of Coeptis’ common stock (including Coeptis’ common stock underlying the Series B Convertible Preferred Stock). Coeptis’ Certificate of Incorporation does not provide for cumulative voting in the election of directors. Holders of Coeptis’ common stock will be entitled to such cash dividends as may be declared from time to time by the Board from funds available. Holders of Coeptis’ common stock have no preemptive rights to purchase shares of Coeptis’ common stock. The issued and outstanding shares of Coeptis’ common stock are not subject to any redemption provisions and are not convertible into any other shares of Coeptis’ capital stock. Upon Coeptis’ liquidation, dissolution or winding up, the holders of Coeptis’ common stock (including Coeptis’ common stock underlying the Series B Convertible Preferred Stock) will be entitled to receive pro rata all assets available for distribution to such 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Pursuant to Coeptis’ Amended and Restated Certificate of Incorporation, we are authorized to issue up to 10,000,000 shares of “blank check” preferred stock, which may be issued from time to time in one or more series upon authorization by Coeptis’ board of directors. The board of directors, without further approval of the stockholders, is authorized to fix the dividend rights and terms, conversion rights, voting rights, redemption rights and terms, liquidation preferences, and any other rights, preferences, privileges and restrictions applicable to each series of preferred stock.</w:t>
      </w:r>
    </w:p>
    <w:p>
      <w:pPr>
        <w:spacing w:after="0" w:line="178" w:lineRule="exact"/>
        <w:rPr>
          <w:sz w:val="20"/>
          <w:szCs w:val="20"/>
          <w:color w:val="auto"/>
        </w:rPr>
      </w:pPr>
    </w:p>
    <w:p>
      <w:pPr>
        <w:ind w:right="540" w:firstLine="432"/>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Series A Preferred Stock</w:t>
      </w:r>
      <w:r>
        <w:rPr>
          <w:rFonts w:ascii="Times New Roman" w:cs="Times New Roman" w:eastAsia="Times New Roman" w:hAnsi="Times New Roman"/>
          <w:sz w:val="18"/>
          <w:szCs w:val="18"/>
          <w:color w:val="auto"/>
        </w:rPr>
        <w:t>. As of the date of this proxy statement, there are no shares of Series A Preferred Stock outstanding, and we have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intention of issuing any Series A Preferred Stock in the near future.</w:t>
      </w:r>
    </w:p>
    <w:p>
      <w:pPr>
        <w:spacing w:after="0" w:line="160" w:lineRule="exact"/>
        <w:rPr>
          <w:sz w:val="20"/>
          <w:szCs w:val="20"/>
          <w:color w:val="auto"/>
        </w:rPr>
      </w:pPr>
    </w:p>
    <w:p>
      <w:pPr>
        <w:ind w:right="260" w:firstLine="432"/>
        <w:spacing w:after="0" w:line="254" w:lineRule="auto"/>
        <w:rPr>
          <w:sz w:val="20"/>
          <w:szCs w:val="20"/>
          <w:color w:val="auto"/>
        </w:rPr>
      </w:pPr>
      <w:r>
        <w:rPr>
          <w:rFonts w:ascii="Times New Roman" w:cs="Times New Roman" w:eastAsia="Times New Roman" w:hAnsi="Times New Roman"/>
          <w:sz w:val="18"/>
          <w:szCs w:val="18"/>
          <w:color w:val="auto"/>
        </w:rPr>
        <w:t>The Series A Preferred Stock has no liquidation preference over any other class of stock. Except as otherwise required by law, holders of Series A Preferred Stock have no special voting rights and their consent shall not be required (except to the extent they are entitled to vote with holders of our common stock or any other class or series of preferred stock) for the taking of any corporate action. The Series A Preferred Stock is convertible at the option of the holder for a period of time from the date of issuance, each holder of shares of Series A Preferred Stock may, at any time and from time to time, provided that the holders of the Series A Preferred Stock are limited to conversion ownership of 9.99% of our common stock. For a period of</w:t>
      </w:r>
    </w:p>
    <w:p>
      <w:pPr>
        <w:spacing w:after="0" w:line="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18 months after the Series A Preferred Stock is convertible, the conversion price of the Series A Preferred Stock is subject to adjustment to prevent dilution in the event that we issue additional shares at a purchase price less than the applicable conversion price. The conversion price is subject to adjustment on a weighted basis that takes into account issuances of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17" w:name="page118"/>
    <w:bookmarkEnd w:id="117"/>
    <w:p>
      <w:pPr>
        <w:ind w:right="660" w:firstLine="432"/>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Series B Convertible Preferred Stock</w:t>
      </w:r>
      <w:r>
        <w:rPr>
          <w:rFonts w:ascii="Times New Roman" w:cs="Times New Roman" w:eastAsia="Times New Roman" w:hAnsi="Times New Roman"/>
          <w:sz w:val="18"/>
          <w:szCs w:val="18"/>
          <w:color w:val="auto"/>
        </w:rPr>
        <w:t>. As of the date of this proxy statement, there are 8,000 shares of Series B Convertible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w:t>
      </w:r>
    </w:p>
    <w:p>
      <w:pPr>
        <w:spacing w:after="0" w:line="160"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Initially, there will be no dividends due or payable on the Series B Convertible Preferred Stock. Any future terms with respect to dividends shall be determined by the Board consistent with Coeptis’ Certificate of Incorporation. Any and all such future terms concerning dividends shall be reflected in an amendment to Coeptis’ Certificate of Incorporation, which the Board shall promptly file or cause to be filed. All shares of the Series B Convertible Preferred Stock shall rank (a) senior to our common stock and any other class or series of our capital stock hereafter created, (b) pari passu with any class or series of our capital stock hereafter created and specifically ranking, by its terms, on par with the Series B Convertible Preferred Stock, and (c) junior to any class or series of Coeptis’ capital stock hereafter created specifically ranking, by its terms, senior to the Series B Convertible Preferred Stock, in each case as to distribution of assets upon liquidation, dissolution or winding up of our company, whether voluntary or involuntary. The Series B Convertible Preferred Stock shall have no liquidation preference over any other class of stock.</w:t>
      </w:r>
    </w:p>
    <w:p>
      <w:pPr>
        <w:spacing w:after="0" w:line="190"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holder of outstanding shares of Series B Convertible Preferred Stock shall be entitled to the number of votes equal to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one thousand (1,000) shares of our common stock for each share of Series B Convertible Preferred Stock. Except as provided by law, or by the provisions establishing any other series of Preferred Stock, holders of Series B Convertible Preferred Stock and of any other outstanding series of Preferred Stock shall vote on an as-converted basis together with the holders of our common stock as a single class. Each holder of shares of Series B Convertible Preferred Stock may, at any time and from time to time, convert (an “Optional Conversion”) each of its shares of Series B Convertible Preferred Stock into 1,000 fully-paid and non-assessable shares of our common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Optional Conversion must involve the issuance of at least 100 shares of Coeptis’ common stock. In the event of a reverse split, the conversion ratio shall not be changed. However, in the event a forward split shall occur then the conversion ratio shall be modified to be increased by the same ratio as the forward split.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Pre-Merger Warrants. </w:t>
      </w:r>
      <w:r>
        <w:rPr>
          <w:rFonts w:ascii="Times New Roman" w:cs="Times New Roman" w:eastAsia="Times New Roman" w:hAnsi="Times New Roman"/>
          <w:sz w:val="18"/>
          <w:szCs w:val="18"/>
          <w:color w:val="auto"/>
        </w:rPr>
        <w:t>After the consummation of the 2021 Merger, there remained warrants outstanding to purchase up to 1,000,000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common stock held by Coral Investment Partners, LP. (an entity 100% controlled by Erik Nelson, our pre-Merger sole officer and director). Each warrant entitles the holder to purchase one share of Coeptis’ common stock at an average purchase price of $3.50 (there are warrants for 500,000 shares at a price of $2.00 per share and warrants for 500,000 shares at a price of $5.00 per share) during the three (3) year period commencing on its date of issuance (resulting in an expiration date of November 30, 2023 for all warrants).</w:t>
      </w:r>
    </w:p>
    <w:p>
      <w:pPr>
        <w:spacing w:after="0" w:line="185"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warrants, at the option of the holder, may be exercised by cash payment of the exercise price to us. The warrants may also be exercised under certain circumstances on a cashless basis.</w:t>
      </w:r>
    </w:p>
    <w:p>
      <w:pPr>
        <w:spacing w:after="0" w:line="162"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exercise price and the number of warrant shares purchasable upon the exercise of the warrants are subject to adjustment upon the occurrence of certain events, including stock dividends, stock splits, combinations and reclassifications of our capital stock. Additionally, an adjustment would be made in the case of an amalgamation, consolidation or merger of our company with or into another corporation (other than a consolidation or merger in which our company is the surviving corporation) or sale of all or substantially all of Coeptis’ assets. We must communicate any such event to the holder(s) of the warrants in order to enable them to receive the kind and number of shares of stock or other securities or property receivable in such event by a holder of the number of shares of common stock that the holder may be entitled to purchase upon the exercise of the warrants.</w:t>
      </w:r>
    </w:p>
    <w:p>
      <w:pPr>
        <w:spacing w:after="0" w:line="187"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The warrants contain a provision limiting the number of shares of our common stock that may be acquired upon exercise to the extent necessary to insure that, after giving effect to such exercise, the number of shares of our common stock then beneficially owned by the holder of the warrants and its affiliates and certain other persons does not exceed 9.99% of the total number of shares of our common stock issued and outstanding immediately after giving effect to such exercise.</w:t>
      </w:r>
    </w:p>
    <w:p>
      <w:pPr>
        <w:spacing w:after="0" w:line="180"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Coeptis’ will, upon exercise, either make a cash payment to the warrant holder with respect to such fractional interest or round the interest up to the net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8" w:name="page119"/>
    <w:bookmarkEnd w:id="118"/>
    <w:p>
      <w:pPr>
        <w:ind w:right="10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Post-Merger Warrants. </w:t>
      </w:r>
      <w:r>
        <w:rPr>
          <w:rFonts w:ascii="Times New Roman" w:cs="Times New Roman" w:eastAsia="Times New Roman" w:hAnsi="Times New Roman"/>
          <w:sz w:val="18"/>
          <w:szCs w:val="18"/>
          <w:color w:val="auto"/>
        </w:rPr>
        <w:t>Since the consummation of the 2021 Merger we have issued warrants to purchase up to 7,090,100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to strategic partners and professional service providers that entitle the holders to purchase one share of our common stock at an average purchase price of $1.53. The warrants will generally expire between November 2023 and May 2026, with the majority of the warrants set to expire in January 2024. The exercise price and the number of warrant shares purchasable upon the exercise of these warrants are subject to adjustment upon the occurrence of certain events, including stock dividends, stock splits, combinations and reclassifications of our capital stock. Additionally, an adjustment would be made in the case of an amalgamation, consolidation or merger of our company with or into another corporation (other than a consolidation or merger in which Coeptis’ is the surviving corporation).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Coeptis has never declared or paid any dividends on its common stock. Coeptis currently intend to retain future earnings, if any, to finance the expansion of its business. As a result, Coeptis does not anticipate paying any cash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Rights of Holders of Coeptis Stock and Company Stock after the Business Combination</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rights of the stockholders of Coeptis are currently governed by the DGCL, and the restated certificate of incorporation and bylaws of Coeptis. If the Business Combination is completed, Coeptis stockholders will become stockholders of the Company, and their rights will be governed by the DGCL, the Company’s proposed Amended and Restated Certificate of Incorporation and the Company’s proposed Bylaws.</w:t>
      </w:r>
    </w:p>
    <w:p>
      <w:pPr>
        <w:spacing w:after="0" w:line="176"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table below summarizes the material differences between the current rights of Coeptis stockholders under the Coeptis restated certificate of incorporation and bylaws and the rights of Company stockholders, under the Company’s proposed Amended and Restated Certificate of Incorporation and the Company’s proposed Bylaws, as applicable, and intended to be in effect immediately following the Business Combination.</w:t>
      </w:r>
    </w:p>
    <w:p>
      <w:pPr>
        <w:spacing w:after="0" w:line="17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While Coeptis believes that the summary tables cover the material differences between the rights of its stockholders prior to the Business Combination and the rights of the Company stockholders following the Business Combination, these summary tables may not contain all of the information that is important to such Coeptis stockholders. Coeptis stockholders should carefully read this entire proxy statement and the other documents referred to in this proxy statement for a more complete understanding of the differences between being a stockholder of Coeptis before the Business Combination and being a stockholder of the Company after the Business Combination. A copy of the Company’s proposed Amended and Restated Certificate of Incorporation is attached as </w:t>
      </w:r>
      <w:r>
        <w:rPr>
          <w:rFonts w:ascii="Times New Roman" w:cs="Times New Roman" w:eastAsia="Times New Roman" w:hAnsi="Times New Roman"/>
          <w:sz w:val="18"/>
          <w:szCs w:val="18"/>
          <w:i w:val="1"/>
          <w:iCs w:val="1"/>
          <w:u w:val="single" w:color="auto"/>
          <w:color w:val="0000EE"/>
        </w:rPr>
        <w:t>Annex B</w:t>
      </w:r>
      <w:r>
        <w:rPr>
          <w:rFonts w:ascii="Times New Roman" w:cs="Times New Roman" w:eastAsia="Times New Roman" w:hAnsi="Times New Roman"/>
          <w:sz w:val="18"/>
          <w:szCs w:val="18"/>
          <w:color w:val="auto"/>
        </w:rPr>
        <w:t xml:space="preserve"> to this proxy statement. Coeptis will send copies of its organizational documents referred to in this proxy statement to its stockholders upon request.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4460" w:type="dxa"/>
            <w:vAlign w:val="bottom"/>
            <w:tcBorders>
              <w:top w:val="single" w:sz="8" w:color="auto"/>
              <w:bottom w:val="single" w:sz="8" w:color="auto"/>
            </w:tcBorders>
          </w:tcPr>
          <w:p>
            <w:pPr>
              <w:ind w:left="2120"/>
              <w:spacing w:after="0"/>
              <w:rPr>
                <w:sz w:val="20"/>
                <w:szCs w:val="20"/>
                <w:color w:val="auto"/>
              </w:rPr>
            </w:pPr>
            <w:r>
              <w:rPr>
                <w:rFonts w:ascii="Times New Roman" w:cs="Times New Roman" w:eastAsia="Times New Roman" w:hAnsi="Times New Roman"/>
                <w:sz w:val="18"/>
                <w:szCs w:val="18"/>
                <w:b w:val="1"/>
                <w:bCs w:val="1"/>
                <w:color w:val="auto"/>
              </w:rPr>
              <w:t>Coeptis</w:t>
            </w:r>
          </w:p>
        </w:tc>
        <w:tc>
          <w:tcPr>
            <w:tcW w:w="4440" w:type="dxa"/>
            <w:vAlign w:val="bottom"/>
            <w:tcBorders>
              <w:top w:val="single" w:sz="8" w:color="auto"/>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191"/>
        </w:trPr>
        <w:tc>
          <w:tcPr>
            <w:tcW w:w="23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Authorized Capital Stock</w:t>
            </w:r>
          </w:p>
        </w:tc>
        <w:tc>
          <w:tcPr>
            <w:tcW w:w="446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Coeptis’ restated certificate of incorporation authorizes</w:t>
            </w:r>
          </w:p>
        </w:tc>
        <w:tc>
          <w:tcPr>
            <w:tcW w:w="44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w w:val="99"/>
              </w:rPr>
              <w:t>The Company’s proposed Amended and Restated Certificate</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issuance of up to 750,000,000 shares of</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Incorporation will authorize the issuance of up</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par value $0.0001 per share, and</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150,000,000 shares of common stock, par value $0.0001</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10,000,000 shares of preferred stock, par value $0.0001</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 share, and 10,000,000 shares of preferred stock, par</w:t>
            </w:r>
          </w:p>
        </w:tc>
      </w:tr>
      <w:tr>
        <w:trPr>
          <w:trHeight w:val="234"/>
        </w:trPr>
        <w:tc>
          <w:tcPr>
            <w:tcW w:w="2340" w:type="dxa"/>
            <w:vAlign w:val="bottom"/>
          </w:tcPr>
          <w:p>
            <w:pPr>
              <w:spacing w:after="0"/>
              <w:rPr>
                <w:sz w:val="20"/>
                <w:szCs w:val="20"/>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 share.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value $0.0001 per share.</w:t>
            </w:r>
          </w:p>
        </w:tc>
      </w:tr>
      <w:tr>
        <w:trPr>
          <w:trHeight w:val="414"/>
        </w:trPr>
        <w:tc>
          <w:tcPr>
            <w:tcW w:w="2340" w:type="dxa"/>
            <w:vAlign w:val="bottom"/>
          </w:tcPr>
          <w:p>
            <w:pPr>
              <w:spacing w:after="0"/>
              <w:rPr>
                <w:sz w:val="24"/>
                <w:szCs w:val="24"/>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board of directors is authorized to provide, out of</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board of directors will be authorized to provide, out of</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authorized, unissued shares of preferred stock, for</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authorized, unissued shares of preferred stock, for one or</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one or more series of preferred stock and, with respect</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more series of preferred stock and, with respect to each such</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each such series, to establish the number of shares to</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series, to fix the number of shares constituting such series</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 included in each such series and to fix the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the designation of such series, and the powers</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designation, vesting powers, preferences and relative,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(including voting powers, if any), preferences and relative,</w:t>
            </w:r>
          </w:p>
        </w:tc>
      </w:tr>
      <w:tr>
        <w:trPr>
          <w:trHeight w:val="214"/>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participating, optional or other rights, if any, of the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participating, optional and other special rights, if any, and</w:t>
            </w:r>
          </w:p>
        </w:tc>
      </w:tr>
      <w:tr>
        <w:trPr>
          <w:trHeight w:val="218"/>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of each such series and any qualifications,</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any </w:t>
            </w:r>
            <w:r>
              <w:rPr>
                <w:rFonts w:ascii="Times New Roman" w:cs="Times New Roman" w:eastAsia="Times New Roman" w:hAnsi="Times New Roman"/>
                <w:sz w:val="18"/>
                <w:szCs w:val="18"/>
                <w:color w:val="auto"/>
              </w:rPr>
              <w:t>qualifications, limitations or restrictions thereof, of the</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limitations or restrictions thereof, and to increase (but</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such series of preferred stock.</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 above the total number of authorized shares of the</w:t>
            </w:r>
          </w:p>
        </w:tc>
        <w:tc>
          <w:tcPr>
            <w:tcW w:w="444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class) or decrease the number of shares of any such</w:t>
            </w:r>
          </w:p>
        </w:tc>
        <w:tc>
          <w:tcPr>
            <w:tcW w:w="444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series (but not below the number of shares of such</w:t>
            </w:r>
          </w:p>
        </w:tc>
        <w:tc>
          <w:tcPr>
            <w:tcW w:w="4440" w:type="dxa"/>
            <w:vAlign w:val="bottom"/>
          </w:tcPr>
          <w:p>
            <w:pPr>
              <w:spacing w:after="0"/>
              <w:rPr>
                <w:sz w:val="18"/>
                <w:szCs w:val="18"/>
                <w:color w:val="auto"/>
              </w:rPr>
            </w:pPr>
          </w:p>
        </w:tc>
      </w:tr>
      <w:tr>
        <w:trPr>
          <w:trHeight w:val="234"/>
        </w:trPr>
        <w:tc>
          <w:tcPr>
            <w:tcW w:w="2340" w:type="dxa"/>
            <w:vAlign w:val="bottom"/>
          </w:tcPr>
          <w:p>
            <w:pPr>
              <w:spacing w:after="0"/>
              <w:rPr>
                <w:sz w:val="20"/>
                <w:szCs w:val="20"/>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series then outstanding).</w:t>
            </w:r>
          </w:p>
        </w:tc>
        <w:tc>
          <w:tcPr>
            <w:tcW w:w="44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9"/>
        </w:trPr>
        <w:tc>
          <w:tcPr>
            <w:tcW w:w="2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4320" w:type="dxa"/>
            <w:vAlign w:val="bottom"/>
            <w:tcBorders>
              <w:top w:val="single" w:sz="8" w:color="auto"/>
              <w:bottom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Coeptis</w:t>
            </w:r>
          </w:p>
        </w:tc>
        <w:tc>
          <w:tcPr>
            <w:tcW w:w="442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191"/>
        </w:trPr>
        <w:tc>
          <w:tcPr>
            <w:tcW w:w="25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Number of Directors</w:t>
            </w:r>
          </w:p>
        </w:tc>
        <w:tc>
          <w:tcPr>
            <w:tcW w:w="432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Coeptis’ bylaws provide that the number of directors</w:t>
            </w:r>
          </w:p>
        </w:tc>
        <w:tc>
          <w:tcPr>
            <w:tcW w:w="44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The Company’s proposed Bylaws will provide that the</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shall be fixed by resolution duly adopted from time to</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 directors shall be fixed solely and exclusively by</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 by the board of directors or the stockholders.</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resolution duly adopted from time to time by the board of</w:t>
            </w:r>
          </w:p>
        </w:tc>
      </w:tr>
      <w:tr>
        <w:trPr>
          <w:trHeight w:val="234"/>
        </w:trPr>
        <w:tc>
          <w:tcPr>
            <w:tcW w:w="2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w:t>
            </w:r>
          </w:p>
        </w:tc>
      </w:tr>
      <w:tr>
        <w:trPr>
          <w:trHeight w:val="414"/>
        </w:trPr>
        <w:tc>
          <w:tcPr>
            <w:tcW w:w="2500" w:type="dxa"/>
            <w:vAlign w:val="bottom"/>
          </w:tcPr>
          <w:p>
            <w:pPr>
              <w:spacing w:after="0"/>
              <w:rPr>
                <w:sz w:val="24"/>
                <w:szCs w:val="24"/>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There are currently three directors serving on the</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Upon consummation of the Business Combination, there</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Coeptis board of directors.</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 be seven directors serving on the Company’s board of</w:t>
            </w:r>
          </w:p>
        </w:tc>
      </w:tr>
      <w:tr>
        <w:trPr>
          <w:trHeight w:val="234"/>
        </w:trPr>
        <w:tc>
          <w:tcPr>
            <w:tcW w:w="2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w:t>
            </w:r>
          </w:p>
        </w:tc>
      </w:tr>
      <w:tr>
        <w:trPr>
          <w:trHeight w:val="410"/>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 Nominations and</w:t>
            </w: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Coeptis’ bylaws do not provide for stockholder director</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Company’s proposed Bylaws will provide that a</w:t>
            </w:r>
          </w:p>
        </w:tc>
      </w:tr>
      <w:tr>
        <w:trPr>
          <w:trHeight w:val="220"/>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Proposals</w:t>
            </w: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nominations or proposals.</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must provide timely written notice of any</w:t>
            </w:r>
          </w:p>
        </w:tc>
      </w:tr>
      <w:tr>
        <w:trPr>
          <w:trHeight w:val="216"/>
        </w:trPr>
        <w:tc>
          <w:tcPr>
            <w:tcW w:w="2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nominations of persons for election to the board of directors</w:t>
            </w:r>
          </w:p>
        </w:tc>
      </w:tr>
      <w:tr>
        <w:trPr>
          <w:trHeight w:val="216"/>
        </w:trPr>
        <w:tc>
          <w:tcPr>
            <w:tcW w:w="2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any other proposal to be brought before the meeting</w:t>
            </w:r>
          </w:p>
        </w:tc>
      </w:tr>
      <w:tr>
        <w:trPr>
          <w:trHeight w:val="216"/>
        </w:trPr>
        <w:tc>
          <w:tcPr>
            <w:tcW w:w="2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together with supporting documentation as well as be</w:t>
            </w:r>
          </w:p>
        </w:tc>
      </w:tr>
      <w:tr>
        <w:trPr>
          <w:trHeight w:val="216"/>
        </w:trPr>
        <w:tc>
          <w:tcPr>
            <w:tcW w:w="2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present at such meeting, either in person or by a</w:t>
            </w:r>
          </w:p>
        </w:tc>
      </w:tr>
      <w:tr>
        <w:trPr>
          <w:trHeight w:val="216"/>
        </w:trPr>
        <w:tc>
          <w:tcPr>
            <w:tcW w:w="2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representative. A stockholder’s notice shall be timely if</w:t>
            </w:r>
          </w:p>
        </w:tc>
      </w:tr>
      <w:tr>
        <w:trPr>
          <w:trHeight w:val="216"/>
        </w:trPr>
        <w:tc>
          <w:tcPr>
            <w:tcW w:w="2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received by the Company at its principal executive office</w:t>
            </w:r>
          </w:p>
        </w:tc>
      </w:tr>
      <w:tr>
        <w:trPr>
          <w:trHeight w:val="220"/>
        </w:trPr>
        <w:tc>
          <w:tcPr>
            <w:tcW w:w="25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 later than the close of business on the ninetieth</w:t>
            </w:r>
          </w:p>
        </w:tc>
      </w:tr>
      <w:tr>
        <w:trPr>
          <w:trHeight w:val="257"/>
        </w:trPr>
        <w:tc>
          <w:tcPr>
            <w:tcW w:w="250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442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nor earlier than the close of business on the one</w:t>
            </w:r>
          </w:p>
        </w:tc>
      </w:tr>
      <w:tr>
        <w:trPr>
          <w:trHeight w:val="253"/>
        </w:trPr>
        <w:tc>
          <w:tcPr>
            <w:tcW w:w="25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4420" w:type="dxa"/>
            <w:vAlign w:val="bottom"/>
          </w:tcPr>
          <w:p>
            <w:pPr>
              <w:ind w:left="40"/>
              <w:spacing w:after="0" w:line="252" w:lineRule="exact"/>
              <w:rPr>
                <w:sz w:val="20"/>
                <w:szCs w:val="20"/>
                <w:color w:val="auto"/>
              </w:rPr>
            </w:pPr>
            <w:r>
              <w:rPr>
                <w:rFonts w:ascii="Times New Roman" w:cs="Times New Roman" w:eastAsia="Times New Roman" w:hAnsi="Times New Roman"/>
                <w:sz w:val="18"/>
                <w:szCs w:val="18"/>
                <w:color w:val="auto"/>
              </w:rPr>
              <w:t>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the one-year</w:t>
            </w:r>
          </w:p>
        </w:tc>
      </w:tr>
      <w:tr>
        <w:trPr>
          <w:trHeight w:val="234"/>
        </w:trPr>
        <w:tc>
          <w:tcPr>
            <w:tcW w:w="2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anniversary of the preceding year’s annual meeting.</w:t>
            </w:r>
          </w:p>
        </w:tc>
      </w:tr>
      <w:tr>
        <w:trPr>
          <w:trHeight w:val="410"/>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Terms of</w:t>
            </w: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Coeptis’ bylaws provide that directors are elected at</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The Company’s proposed Amended and Restated Certificate</w:t>
            </w:r>
          </w:p>
        </w:tc>
      </w:tr>
      <w:tr>
        <w:trPr>
          <w:trHeight w:val="220"/>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Office; Removal</w:t>
            </w: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each annual meeting of stockholders, to hold office</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Incorporation will provide that directors, other than those</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until the next annual meeting, and shall hold office until</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 may be elected by the holders of any series of preferred</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their respective successors are elected and qualified, or</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shall be elected at each annual meeting of</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until such director’s earlier death, resignation or</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stockholders for a term of one year. Each director shall serve</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removal. The entire board of directors or any individual</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until his successor is duly elected and qualified or until his</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 may be removed from office (i) with cause or</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death, resignation or removal. Any director may be removed</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without cause and (ii) only by the affirmative vote of</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office (i) with or without cause and (ii) only by the</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holders of at least a majority of the shares then</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affirmative vote of the holders of at least a majority in</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entitled to vote at an election of directors.</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voting power of the shares then entitled to vote at an</w:t>
            </w:r>
          </w:p>
        </w:tc>
      </w:tr>
      <w:tr>
        <w:trPr>
          <w:trHeight w:val="234"/>
        </w:trPr>
        <w:tc>
          <w:tcPr>
            <w:tcW w:w="2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election of directors.</w:t>
            </w:r>
          </w:p>
        </w:tc>
      </w:tr>
    </w:tbl>
    <w:p>
      <w:pPr>
        <w:spacing w:after="0" w:line="194" w:lineRule="exact"/>
        <w:rPr>
          <w:sz w:val="20"/>
          <w:szCs w:val="20"/>
          <w:color w:val="auto"/>
        </w:rPr>
      </w:pPr>
    </w:p>
    <w:p>
      <w:pPr>
        <w:sectPr>
          <w:pgSz w:w="11900" w:h="16838" w:orient="portrait"/>
          <w:cols w:equalWidth="0" w:num="1">
            <w:col w:w="11240"/>
          </w:cols>
          <w:pgMar w:left="320" w:top="794" w:right="339" w:bottom="1440" w:gutter="0" w:footer="0" w:header="0"/>
        </w:sect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Special Meetings of the</w:t>
      </w:r>
      <w:r>
        <w:rPr>
          <w:sz w:val="20"/>
          <w:szCs w:val="20"/>
          <w:color w:val="auto"/>
        </w:rPr>
        <w:tab/>
      </w:r>
      <w:r>
        <w:rPr>
          <w:rFonts w:ascii="Times New Roman" w:cs="Times New Roman" w:eastAsia="Times New Roman" w:hAnsi="Times New Roman"/>
          <w:sz w:val="17"/>
          <w:szCs w:val="17"/>
          <w:color w:val="auto"/>
        </w:rPr>
        <w:t>Coeptis’ bylaws provide that a special meeting of</w:t>
      </w:r>
    </w:p>
    <w:p>
      <w:pPr>
        <w:spacing w:after="0" w:line="31" w:lineRule="exact"/>
        <w:rPr>
          <w:sz w:val="20"/>
          <w:szCs w:val="20"/>
          <w:color w:val="auto"/>
        </w:rPr>
      </w:pPr>
    </w:p>
    <w:p>
      <w:pPr>
        <w:ind w:left="180"/>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Stockholders</w:t>
      </w:r>
      <w:r>
        <w:rPr>
          <w:sz w:val="20"/>
          <w:szCs w:val="20"/>
          <w:color w:val="auto"/>
        </w:rPr>
        <w:tab/>
      </w:r>
      <w:r>
        <w:rPr>
          <w:rFonts w:ascii="Times New Roman" w:cs="Times New Roman" w:eastAsia="Times New Roman" w:hAnsi="Times New Roman"/>
          <w:sz w:val="18"/>
          <w:szCs w:val="18"/>
          <w:color w:val="auto"/>
        </w:rPr>
        <w:t>stockholders may be called by one-third of the Coeptis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board of directors or the chair of the board of directors.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The Company’s proposed Amended and Restated Certificate of Incorporation and Bylaws will provide, subject to the rights, if any, of the holders of any series of preferred stock, that a special meeting of stockholders may be called only by the board of directors acting pursuant to a resolution approved by the affirmative vote of a majority of the board of directors, or by the Chief Executive Officer or President.</w:t>
      </w:r>
    </w:p>
    <w:p>
      <w:pPr>
        <w:spacing w:after="0" w:line="200" w:lineRule="exact"/>
        <w:rPr>
          <w:sz w:val="20"/>
          <w:szCs w:val="20"/>
          <w:color w:val="auto"/>
        </w:rPr>
      </w:pPr>
    </w:p>
    <w:p>
      <w:pPr>
        <w:sectPr>
          <w:pgSz w:w="11900" w:h="16838" w:orient="portrait"/>
          <w:cols w:equalWidth="0" w:num="2">
            <w:col w:w="6700" w:space="160"/>
            <w:col w:w="4380"/>
          </w:cols>
          <w:pgMar w:left="320" w:top="79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29"/>
        </w:trPr>
        <w:tc>
          <w:tcPr>
            <w:tcW w:w="2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4680" w:type="dxa"/>
            <w:vAlign w:val="bottom"/>
            <w:tcBorders>
              <w:top w:val="single" w:sz="8" w:color="auto"/>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Coeptis</w:t>
            </w:r>
          </w:p>
        </w:tc>
        <w:tc>
          <w:tcPr>
            <w:tcW w:w="4480" w:type="dxa"/>
            <w:vAlign w:val="bottom"/>
            <w:tcBorders>
              <w:top w:val="single" w:sz="8" w:color="auto"/>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191"/>
        </w:trPr>
        <w:tc>
          <w:tcPr>
            <w:tcW w:w="20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Cumulative Voting</w:t>
            </w:r>
          </w:p>
        </w:tc>
        <w:tc>
          <w:tcPr>
            <w:tcW w:w="468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Coeptis’ certificate of incorporation and bylaws do not</w:t>
            </w:r>
          </w:p>
        </w:tc>
        <w:tc>
          <w:tcPr>
            <w:tcW w:w="4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The Company’s proposed Amended and Restated Certificate</w:t>
            </w:r>
          </w:p>
        </w:tc>
      </w:tr>
      <w:tr>
        <w:trPr>
          <w:trHeight w:val="216"/>
        </w:trPr>
        <w:tc>
          <w:tcPr>
            <w:tcW w:w="2080" w:type="dxa"/>
            <w:vAlign w:val="bottom"/>
          </w:tcPr>
          <w:p>
            <w:pPr>
              <w:spacing w:after="0"/>
              <w:rPr>
                <w:sz w:val="18"/>
                <w:szCs w:val="18"/>
                <w:color w:val="auto"/>
              </w:rPr>
            </w:pPr>
          </w:p>
        </w:tc>
        <w:tc>
          <w:tcPr>
            <w:tcW w:w="4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provide for cumulative voting rights in the election of</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Incorporation and Bylaws will not provide for cumulative</w:t>
            </w:r>
          </w:p>
        </w:tc>
      </w:tr>
      <w:tr>
        <w:trPr>
          <w:trHeight w:val="216"/>
        </w:trPr>
        <w:tc>
          <w:tcPr>
            <w:tcW w:w="2080" w:type="dxa"/>
            <w:vAlign w:val="bottom"/>
          </w:tcPr>
          <w:p>
            <w:pPr>
              <w:spacing w:after="0"/>
              <w:rPr>
                <w:sz w:val="18"/>
                <w:szCs w:val="18"/>
                <w:color w:val="auto"/>
              </w:rPr>
            </w:pPr>
          </w:p>
        </w:tc>
        <w:tc>
          <w:tcPr>
            <w:tcW w:w="4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its directors. Under the DGCL, cumulative voting is</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voting rights in the election of its directors. Under the</w:t>
            </w:r>
          </w:p>
        </w:tc>
      </w:tr>
      <w:tr>
        <w:trPr>
          <w:trHeight w:val="216"/>
        </w:trPr>
        <w:tc>
          <w:tcPr>
            <w:tcW w:w="2080" w:type="dxa"/>
            <w:vAlign w:val="bottom"/>
          </w:tcPr>
          <w:p>
            <w:pPr>
              <w:spacing w:after="0"/>
              <w:rPr>
                <w:sz w:val="18"/>
                <w:szCs w:val="18"/>
                <w:color w:val="auto"/>
              </w:rPr>
            </w:pPr>
          </w:p>
        </w:tc>
        <w:tc>
          <w:tcPr>
            <w:tcW w:w="4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permitted only when authorized in the certificate of</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DGCL, cumulative voting is permitted only when</w:t>
            </w:r>
          </w:p>
        </w:tc>
      </w:tr>
      <w:tr>
        <w:trPr>
          <w:trHeight w:val="234"/>
        </w:trPr>
        <w:tc>
          <w:tcPr>
            <w:tcW w:w="2080" w:type="dxa"/>
            <w:vAlign w:val="bottom"/>
          </w:tcPr>
          <w:p>
            <w:pPr>
              <w:spacing w:after="0"/>
              <w:rPr>
                <w:sz w:val="20"/>
                <w:szCs w:val="20"/>
                <w:color w:val="auto"/>
              </w:rPr>
            </w:pPr>
          </w:p>
        </w:tc>
        <w:tc>
          <w:tcPr>
            <w:tcW w:w="4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incorporation.</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in the certificate of incorporation.</w:t>
            </w:r>
          </w:p>
        </w:tc>
      </w:tr>
    </w:tbl>
    <w:p>
      <w:pPr>
        <w:spacing w:after="0" w:line="194" w:lineRule="exact"/>
        <w:rPr>
          <w:sz w:val="20"/>
          <w:szCs w:val="20"/>
          <w:color w:val="auto"/>
        </w:rPr>
      </w:pPr>
    </w:p>
    <w:p>
      <w:pPr>
        <w:sectPr>
          <w:pgSz w:w="11900" w:h="16838" w:orient="portrait"/>
          <w:cols w:equalWidth="0" w:num="1">
            <w:col w:w="11240"/>
          </w:cols>
          <w:pgMar w:left="320" w:top="794" w:right="339" w:bottom="1440" w:gutter="0" w:footer="0" w:header="0"/>
        </w:sect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Voting</w:t>
      </w:r>
      <w:r>
        <w:rPr>
          <w:sz w:val="20"/>
          <w:szCs w:val="20"/>
          <w:color w:val="auto"/>
        </w:rPr>
        <w:tab/>
      </w:r>
      <w:r>
        <w:rPr>
          <w:rFonts w:ascii="Times New Roman" w:cs="Times New Roman" w:eastAsia="Times New Roman" w:hAnsi="Times New Roman"/>
          <w:sz w:val="18"/>
          <w:szCs w:val="18"/>
          <w:color w:val="auto"/>
        </w:rPr>
        <w:t>Pursuant to Coeptis’ certificate of incorporation and</w:t>
      </w:r>
    </w:p>
    <w:p>
      <w:pPr>
        <w:spacing w:after="0" w:line="31" w:lineRule="exact"/>
        <w:rPr>
          <w:sz w:val="20"/>
          <w:szCs w:val="20"/>
          <w:color w:val="auto"/>
        </w:rPr>
      </w:pPr>
    </w:p>
    <w:p>
      <w:pPr>
        <w:ind w:left="2720"/>
        <w:spacing w:after="0" w:line="251" w:lineRule="auto"/>
        <w:rPr>
          <w:sz w:val="20"/>
          <w:szCs w:val="20"/>
          <w:color w:val="auto"/>
        </w:rPr>
      </w:pPr>
      <w:r>
        <w:rPr>
          <w:rFonts w:ascii="Times New Roman" w:cs="Times New Roman" w:eastAsia="Times New Roman" w:hAnsi="Times New Roman"/>
          <w:sz w:val="18"/>
          <w:szCs w:val="18"/>
          <w:color w:val="auto"/>
        </w:rPr>
        <w:t>bylaws, holders of shares of Coeptis common stock are entitled to one vote for each such share on all matters voted on by the stockholder and, on any matter presented to the stockholders of Coeptis, the holders of shares of preferred stock are entitled to the number of votes equal to the number of whole shares of Coeptis common stock into which such shares of preferred stock are convertible into as of the record date for determining stockholders entitled to vote on such matter. The holders of shares of preferred stock are entitled to vote together with the holders of common stock as a single class on an as converted basis with full voting rights and powers equal to the voting rights and powers of the holders of common stock.</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Company’s proposed Amended and Restated Certificate of Incorporation, holders of shares of the Company Common Stock will be entitled to one vote for each such share on all matters voted on by the stockholders, and the voting rights, if any, of any holders of preferred stock shall be established and designated by the board of directors at the time of issuance.</w:t>
      </w:r>
    </w:p>
    <w:p>
      <w:pPr>
        <w:spacing w:after="0" w:line="1912" w:lineRule="exact"/>
        <w:rPr>
          <w:sz w:val="20"/>
          <w:szCs w:val="20"/>
          <w:color w:val="auto"/>
        </w:rPr>
      </w:pPr>
    </w:p>
    <w:p>
      <w:pPr>
        <w:sectPr>
          <w:pgSz w:w="11900" w:h="16838" w:orient="portrait"/>
          <w:cols w:equalWidth="0" w:num="2">
            <w:col w:w="6740" w:space="120"/>
            <w:col w:w="4380"/>
          </w:cols>
          <w:pgMar w:left="320" w:top="794" w:right="339" w:bottom="1440" w:gutter="0" w:footer="0" w:header="0"/>
          <w:type w:val="continuous"/>
        </w:sect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Vacancies</w:t>
      </w:r>
      <w:r>
        <w:rPr>
          <w:sz w:val="20"/>
          <w:szCs w:val="20"/>
          <w:color w:val="auto"/>
        </w:rPr>
        <w:tab/>
      </w:r>
      <w:r>
        <w:rPr>
          <w:rFonts w:ascii="Times New Roman" w:cs="Times New Roman" w:eastAsia="Times New Roman" w:hAnsi="Times New Roman"/>
          <w:sz w:val="18"/>
          <w:szCs w:val="18"/>
          <w:color w:val="auto"/>
        </w:rPr>
        <w:t>Coeptis’ bylaws provide that vacancies and newly-</w:t>
      </w:r>
    </w:p>
    <w:p>
      <w:pPr>
        <w:spacing w:after="0" w:line="31" w:lineRule="exact"/>
        <w:rPr>
          <w:sz w:val="20"/>
          <w:szCs w:val="20"/>
          <w:color w:val="auto"/>
        </w:rPr>
      </w:pPr>
    </w:p>
    <w:p>
      <w:pPr>
        <w:ind w:left="2720"/>
        <w:spacing w:after="0" w:line="253" w:lineRule="auto"/>
        <w:rPr>
          <w:sz w:val="20"/>
          <w:szCs w:val="20"/>
          <w:color w:val="auto"/>
        </w:rPr>
      </w:pPr>
      <w:r>
        <w:rPr>
          <w:rFonts w:ascii="Times New Roman" w:cs="Times New Roman" w:eastAsia="Times New Roman" w:hAnsi="Times New Roman"/>
          <w:sz w:val="18"/>
          <w:szCs w:val="18"/>
          <w:color w:val="auto"/>
        </w:rPr>
        <w:t>created directorships resulting from any increase in the authorized number of directors may be filled by the stockholders, a majority of the directors then in office, although less than a quorum, or by a sole remaining director.</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The Company’s proposed Amended and Restated Certificate of Incorporation will provide that vacancies and newly-created directorships resulting from any increase in the Authorized number of directors may be filled exclusively by the affirmative vote of a majority of the remaining directors then in office, even if less than a quorum of the board of directors.</w:t>
      </w:r>
    </w:p>
    <w:p>
      <w:pPr>
        <w:spacing w:after="0" w:line="185" w:lineRule="exact"/>
        <w:rPr>
          <w:sz w:val="20"/>
          <w:szCs w:val="20"/>
          <w:color w:val="auto"/>
        </w:rPr>
      </w:pPr>
    </w:p>
    <w:p>
      <w:pPr>
        <w:sectPr>
          <w:pgSz w:w="11900" w:h="16838" w:orient="portrait"/>
          <w:cols w:equalWidth="0" w:num="2">
            <w:col w:w="6680" w:space="180"/>
            <w:col w:w="4380"/>
          </w:cols>
          <w:pgMar w:left="320" w:top="794" w:right="339" w:bottom="1440" w:gutter="0" w:footer="0" w:header="0"/>
          <w:type w:val="continuous"/>
        </w:sect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Election of Directors</w:t>
      </w:r>
      <w:r>
        <w:rPr>
          <w:sz w:val="20"/>
          <w:szCs w:val="20"/>
          <w:color w:val="auto"/>
        </w:rPr>
        <w:tab/>
      </w:r>
      <w:r>
        <w:rPr>
          <w:rFonts w:ascii="Times New Roman" w:cs="Times New Roman" w:eastAsia="Times New Roman" w:hAnsi="Times New Roman"/>
          <w:sz w:val="18"/>
          <w:szCs w:val="18"/>
          <w:color w:val="auto"/>
        </w:rPr>
        <w:t>Any election of directors by stockholders shall be</w:t>
      </w:r>
    </w:p>
    <w:p>
      <w:pPr>
        <w:spacing w:after="0" w:line="31" w:lineRule="exact"/>
        <w:rPr>
          <w:sz w:val="20"/>
          <w:szCs w:val="20"/>
          <w:color w:val="auto"/>
        </w:rPr>
      </w:pPr>
    </w:p>
    <w:p>
      <w:pPr>
        <w:ind w:left="2720"/>
        <w:spacing w:after="0" w:line="277" w:lineRule="auto"/>
        <w:rPr>
          <w:sz w:val="20"/>
          <w:szCs w:val="20"/>
          <w:color w:val="auto"/>
        </w:rPr>
      </w:pPr>
      <w:r>
        <w:rPr>
          <w:rFonts w:ascii="Times New Roman" w:cs="Times New Roman" w:eastAsia="Times New Roman" w:hAnsi="Times New Roman"/>
          <w:sz w:val="17"/>
          <w:szCs w:val="17"/>
          <w:color w:val="auto"/>
        </w:rPr>
        <w:t>determined by a plurality of the votes of the shares present in person or represented by proxy at the meeting and entitled to vote on the election of directors.</w:t>
      </w:r>
    </w:p>
    <w:p>
      <w:pPr>
        <w:spacing w:after="0" w:line="20" w:lineRule="exact"/>
        <w:rPr>
          <w:sz w:val="20"/>
          <w:szCs w:val="20"/>
          <w:color w:val="auto"/>
        </w:rPr>
      </w:pPr>
      <w:r>
        <w:rPr>
          <w:sz w:val="20"/>
          <w:szCs w:val="20"/>
          <w:color w:val="auto"/>
        </w:rPr>
        <w:br w:type="column"/>
      </w:r>
    </w:p>
    <w:p>
      <w:pPr>
        <w:ind w:right="200"/>
        <w:spacing w:after="0" w:line="266" w:lineRule="auto"/>
        <w:rPr>
          <w:sz w:val="20"/>
          <w:szCs w:val="20"/>
          <w:color w:val="auto"/>
        </w:rPr>
      </w:pPr>
      <w:r>
        <w:rPr>
          <w:rFonts w:ascii="Times New Roman" w:cs="Times New Roman" w:eastAsia="Times New Roman" w:hAnsi="Times New Roman"/>
          <w:sz w:val="18"/>
          <w:szCs w:val="18"/>
          <w:color w:val="auto"/>
        </w:rPr>
        <w:t>Any election of directors by stockholders shall be determined by a plurality of the votes properly cast on the election of directors.</w:t>
      </w:r>
    </w:p>
    <w:p>
      <w:pPr>
        <w:spacing w:after="0" w:line="387" w:lineRule="exact"/>
        <w:rPr>
          <w:sz w:val="20"/>
          <w:szCs w:val="20"/>
          <w:color w:val="auto"/>
        </w:rPr>
      </w:pPr>
    </w:p>
    <w:p>
      <w:pPr>
        <w:sectPr>
          <w:pgSz w:w="11900" w:h="16838" w:orient="portrait"/>
          <w:cols w:equalWidth="0" w:num="2">
            <w:col w:w="6740" w:space="120"/>
            <w:col w:w="4380"/>
          </w:cols>
          <w:pgMar w:left="320" w:top="794" w:right="339" w:bottom="1440" w:gutter="0" w:footer="0" w:header="0"/>
          <w:type w:val="continuous"/>
        </w:sect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Stockholder Action by Written</w:t>
      </w:r>
      <w:r>
        <w:rPr>
          <w:sz w:val="20"/>
          <w:szCs w:val="20"/>
          <w:color w:val="auto"/>
        </w:rPr>
        <w:tab/>
      </w:r>
      <w:r>
        <w:rPr>
          <w:rFonts w:ascii="Times New Roman" w:cs="Times New Roman" w:eastAsia="Times New Roman" w:hAnsi="Times New Roman"/>
          <w:sz w:val="18"/>
          <w:szCs w:val="18"/>
          <w:color w:val="auto"/>
        </w:rPr>
        <w:t>Coeptis’ bylaws provide that any action required by</w:t>
      </w:r>
    </w:p>
    <w:p>
      <w:pPr>
        <w:spacing w:after="0" w:line="31" w:lineRule="exact"/>
        <w:rPr>
          <w:sz w:val="20"/>
          <w:szCs w:val="20"/>
          <w:color w:val="auto"/>
        </w:rPr>
      </w:pPr>
    </w:p>
    <w:p>
      <w:pPr>
        <w:ind w:left="2720" w:hanging="2539"/>
        <w:spacing w:after="0" w:line="251" w:lineRule="auto"/>
        <w:tabs>
          <w:tab w:leader="none" w:pos="2700" w:val="left"/>
        </w:tabs>
        <w:rPr>
          <w:sz w:val="20"/>
          <w:szCs w:val="20"/>
          <w:color w:val="auto"/>
        </w:rPr>
      </w:pPr>
      <w:r>
        <w:rPr>
          <w:rFonts w:ascii="Times New Roman" w:cs="Times New Roman" w:eastAsia="Times New Roman" w:hAnsi="Times New Roman"/>
          <w:sz w:val="18"/>
          <w:szCs w:val="18"/>
          <w:b w:val="1"/>
          <w:bCs w:val="1"/>
          <w:color w:val="auto"/>
        </w:rPr>
        <w:t>Consent</w:t>
      </w:r>
      <w:r>
        <w:rPr>
          <w:sz w:val="20"/>
          <w:szCs w:val="20"/>
          <w:color w:val="auto"/>
        </w:rPr>
        <w:tab/>
      </w:r>
      <w:r>
        <w:rPr>
          <w:rFonts w:ascii="Times New Roman" w:cs="Times New Roman" w:eastAsia="Times New Roman" w:hAnsi="Times New Roman"/>
          <w:sz w:val="18"/>
          <w:szCs w:val="18"/>
          <w:color w:val="auto"/>
        </w:rPr>
        <w:t>law to be taken at any annual or special meeting of stockholders, or any action permitted to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such consent in writing signed by a sufficient number of stockholders to take the action set forth therein shall be delivered to Coeptis.</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The Company’s proposed Amended and Restated Certificate of Incorporation will provide that no action that is required or permitted to be taken by the stockholders at any annual or special meeting of stockholders may be effected by written consent of stockholders in lieu of a meeting of stockholders.</w:t>
      </w:r>
    </w:p>
    <w:p>
      <w:pPr>
        <w:spacing w:after="0" w:line="2135" w:lineRule="exact"/>
        <w:rPr>
          <w:sz w:val="20"/>
          <w:szCs w:val="20"/>
          <w:color w:val="auto"/>
        </w:rPr>
      </w:pPr>
    </w:p>
    <w:p>
      <w:pPr>
        <w:sectPr>
          <w:pgSz w:w="11900" w:h="16838" w:orient="portrait"/>
          <w:cols w:equalWidth="0" w:num="2">
            <w:col w:w="6700" w:space="160"/>
            <w:col w:w="4380"/>
          </w:cols>
          <w:pgMar w:left="320" w:top="794"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29"/>
        </w:trPr>
        <w:tc>
          <w:tcPr>
            <w:tcW w:w="2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4240" w:type="dxa"/>
            <w:vAlign w:val="bottom"/>
            <w:tcBorders>
              <w:top w:val="single" w:sz="8" w:color="auto"/>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Coeptis</w:t>
            </w:r>
          </w:p>
        </w:tc>
        <w:tc>
          <w:tcPr>
            <w:tcW w:w="4440" w:type="dxa"/>
            <w:vAlign w:val="bottom"/>
            <w:tcBorders>
              <w:top w:val="single" w:sz="8" w:color="auto"/>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191"/>
        </w:trPr>
        <w:tc>
          <w:tcPr>
            <w:tcW w:w="25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Notice of Stockholder Meetings</w:t>
            </w:r>
          </w:p>
        </w:tc>
        <w:tc>
          <w:tcPr>
            <w:tcW w:w="42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Coeptis’ bylaws provide that notice of the date, time</w:t>
            </w:r>
          </w:p>
        </w:tc>
        <w:tc>
          <w:tcPr>
            <w:tcW w:w="44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The Company’s proposed Bylaws will provide that a notice</w:t>
            </w:r>
          </w:p>
        </w:tc>
      </w:tr>
      <w:tr>
        <w:trPr>
          <w:trHeight w:val="216"/>
        </w:trPr>
        <w:tc>
          <w:tcPr>
            <w:tcW w:w="25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place, if any, of all meetings of stockholders, and,</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stating the hour, date and place, if any, of such meeting, the</w:t>
            </w:r>
          </w:p>
        </w:tc>
      </w:tr>
      <w:tr>
        <w:trPr>
          <w:trHeight w:val="216"/>
        </w:trPr>
        <w:tc>
          <w:tcPr>
            <w:tcW w:w="25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the case of a special meeting, the purpose or</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means of remote communication, if any, by which</w:t>
            </w:r>
          </w:p>
        </w:tc>
      </w:tr>
      <w:tr>
        <w:trPr>
          <w:trHeight w:val="216"/>
        </w:trPr>
        <w:tc>
          <w:tcPr>
            <w:tcW w:w="25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purposes for which the meeting is called, shall be given</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stockholders and may be deemed to be present in person and</w:t>
            </w:r>
          </w:p>
        </w:tc>
      </w:tr>
      <w:tr>
        <w:trPr>
          <w:trHeight w:val="216"/>
        </w:trPr>
        <w:tc>
          <w:tcPr>
            <w:tcW w:w="25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writing or electronic transmission not less than 10</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vote at such meeting, the record date for determining the</w:t>
            </w:r>
          </w:p>
        </w:tc>
      </w:tr>
      <w:tr>
        <w:trPr>
          <w:trHeight w:val="216"/>
        </w:trPr>
        <w:tc>
          <w:tcPr>
            <w:tcW w:w="25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nor more than 60 days before the date of the meeting to</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stockholders entitled to vote at the meeting (if such date is</w:t>
            </w:r>
          </w:p>
        </w:tc>
      </w:tr>
      <w:tr>
        <w:trPr>
          <w:trHeight w:val="216"/>
        </w:trPr>
        <w:tc>
          <w:tcPr>
            <w:tcW w:w="25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each stockholder of record entitled to vote at such</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different from the record date for stockholders entitled to</w:t>
            </w:r>
          </w:p>
        </w:tc>
      </w:tr>
      <w:tr>
        <w:trPr>
          <w:trHeight w:val="216"/>
        </w:trPr>
        <w:tc>
          <w:tcPr>
            <w:tcW w:w="25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meeting.</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the meeting) and, in the case of a special meeting,</w:t>
            </w:r>
          </w:p>
        </w:tc>
      </w:tr>
      <w:tr>
        <w:trPr>
          <w:trHeight w:val="216"/>
        </w:trPr>
        <w:tc>
          <w:tcPr>
            <w:tcW w:w="2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purpose or purposes for which the meeting is called,</w:t>
            </w:r>
          </w:p>
        </w:tc>
      </w:tr>
      <w:tr>
        <w:trPr>
          <w:trHeight w:val="216"/>
        </w:trPr>
        <w:tc>
          <w:tcPr>
            <w:tcW w:w="2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shall be given not less than ten (10) days nor more than</w:t>
            </w:r>
          </w:p>
        </w:tc>
      </w:tr>
      <w:tr>
        <w:trPr>
          <w:trHeight w:val="216"/>
        </w:trPr>
        <w:tc>
          <w:tcPr>
            <w:tcW w:w="2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sixty (60) days before the meeting, to each stockholder</w:t>
            </w:r>
          </w:p>
        </w:tc>
      </w:tr>
      <w:tr>
        <w:trPr>
          <w:trHeight w:val="216"/>
        </w:trPr>
        <w:tc>
          <w:tcPr>
            <w:tcW w:w="2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entitled to vote thereat as of the record date for determining</w:t>
            </w:r>
          </w:p>
        </w:tc>
      </w:tr>
      <w:tr>
        <w:trPr>
          <w:trHeight w:val="234"/>
        </w:trPr>
        <w:tc>
          <w:tcPr>
            <w:tcW w:w="2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stockholders entitled to notice of the meeting.</w:t>
            </w:r>
          </w:p>
        </w:tc>
      </w:tr>
    </w:tbl>
    <w:p>
      <w:pPr>
        <w:spacing w:after="0" w:line="194" w:lineRule="exact"/>
        <w:rPr>
          <w:sz w:val="20"/>
          <w:szCs w:val="20"/>
          <w:color w:val="auto"/>
        </w:rPr>
      </w:pPr>
    </w:p>
    <w:p>
      <w:pPr>
        <w:sectPr>
          <w:pgSz w:w="11900" w:h="16838" w:orient="portrait"/>
          <w:cols w:equalWidth="0" w:num="1">
            <w:col w:w="11240"/>
          </w:cols>
          <w:pgMar w:left="320" w:top="794"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Conversion Rights and Protective  </w:t>
      </w:r>
      <w:r>
        <w:rPr>
          <w:rFonts w:ascii="Times New Roman" w:cs="Times New Roman" w:eastAsia="Times New Roman" w:hAnsi="Times New Roman"/>
          <w:sz w:val="18"/>
          <w:szCs w:val="18"/>
          <w:color w:val="auto"/>
        </w:rPr>
        <w:t>The holders of Coeptis common stock do not have</w:t>
      </w:r>
    </w:p>
    <w:p>
      <w:pPr>
        <w:spacing w:after="0" w:line="31" w:lineRule="exact"/>
        <w:rPr>
          <w:sz w:val="20"/>
          <w:szCs w:val="20"/>
          <w:color w:val="auto"/>
        </w:rPr>
      </w:pPr>
    </w:p>
    <w:p>
      <w:pPr>
        <w:ind w:left="180"/>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Provisions</w:t>
      </w:r>
      <w:r>
        <w:rPr>
          <w:sz w:val="20"/>
          <w:szCs w:val="20"/>
          <w:color w:val="auto"/>
        </w:rPr>
        <w:tab/>
      </w:r>
      <w:r>
        <w:rPr>
          <w:rFonts w:ascii="Times New Roman" w:cs="Times New Roman" w:eastAsia="Times New Roman" w:hAnsi="Times New Roman"/>
          <w:sz w:val="18"/>
          <w:szCs w:val="18"/>
          <w:color w:val="auto"/>
        </w:rPr>
        <w:t>preemptive, conversion or other protective rights.</w:t>
      </w:r>
    </w:p>
    <w:p>
      <w:pPr>
        <w:spacing w:after="0" w:line="207" w:lineRule="exact"/>
        <w:rPr>
          <w:sz w:val="20"/>
          <w:szCs w:val="20"/>
          <w:color w:val="auto"/>
        </w:rPr>
      </w:pPr>
    </w:p>
    <w:p>
      <w:pPr>
        <w:ind w:left="2720"/>
        <w:spacing w:after="0" w:line="252" w:lineRule="auto"/>
        <w:rPr>
          <w:sz w:val="20"/>
          <w:szCs w:val="20"/>
          <w:color w:val="auto"/>
        </w:rPr>
      </w:pPr>
      <w:r>
        <w:rPr>
          <w:rFonts w:ascii="Times New Roman" w:cs="Times New Roman" w:eastAsia="Times New Roman" w:hAnsi="Times New Roman"/>
          <w:sz w:val="18"/>
          <w:szCs w:val="18"/>
          <w:color w:val="auto"/>
        </w:rPr>
        <w:t>The holders of Coeptis preferred stock shall, with respect to payment of dividends, redemption payments and rights upon liquidation, dissolution or winding-up of the affairs of the Company, rank senior and prior to the holders of Coeptis common stock. Upon any voluntary or involuntary liquidation, dissolution or winding up of the Company, the holders of Coeptis preferred stock shall be entitled to receive, out of the assets of the Company available for distribution, an amount per share equal to the greater of (a) the original issue price for such series of preferred stock plus accrued and unpaid dividends or (b) such amount per share as would have been payable had all shares of preferred stock been converted into common stock immediately prior to such liquidation, dissolution or winding up, in preference to any distribution to the holders of Coeptis common stock.</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The holders of the Company Common Stock will not have preemptive, conversion or other protective rights.</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preemptive, conversion or other protective rights, if any, of any holders of preferred stock shall be established and designated by the board of directors at the time of issuance.</w:t>
      </w:r>
    </w:p>
    <w:p>
      <w:pPr>
        <w:spacing w:after="0" w:line="2994" w:lineRule="exact"/>
        <w:rPr>
          <w:sz w:val="20"/>
          <w:szCs w:val="20"/>
          <w:color w:val="auto"/>
        </w:rPr>
      </w:pPr>
    </w:p>
    <w:p>
      <w:pPr>
        <w:sectPr>
          <w:pgSz w:w="11900" w:h="16838" w:orient="portrait"/>
          <w:cols w:equalWidth="0" w:num="2">
            <w:col w:w="6700" w:space="160"/>
            <w:col w:w="4380"/>
          </w:cols>
          <w:pgMar w:left="320" w:top="79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20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4700" w:type="dxa"/>
            <w:vAlign w:val="bottom"/>
            <w:tcBorders>
              <w:top w:val="single" w:sz="8" w:color="auto"/>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Coeptis</w:t>
            </w:r>
          </w:p>
        </w:tc>
        <w:tc>
          <w:tcPr>
            <w:tcW w:w="4540" w:type="dxa"/>
            <w:vAlign w:val="bottom"/>
            <w:tcBorders>
              <w:top w:val="single" w:sz="8" w:color="auto"/>
              <w:bottom w:val="single" w:sz="8" w:color="auto"/>
            </w:tcBorders>
          </w:tcPr>
          <w:p>
            <w:pPr>
              <w:ind w:left="198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191"/>
        </w:trPr>
        <w:tc>
          <w:tcPr>
            <w:tcW w:w="20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Forum Selection</w:t>
            </w:r>
          </w:p>
        </w:tc>
        <w:tc>
          <w:tcPr>
            <w:tcW w:w="4700" w:type="dxa"/>
            <w:vAlign w:val="bottom"/>
          </w:tcPr>
          <w:p>
            <w:pPr>
              <w:ind w:left="720"/>
              <w:spacing w:after="0" w:line="191" w:lineRule="exact"/>
              <w:rPr>
                <w:sz w:val="20"/>
                <w:szCs w:val="20"/>
                <w:color w:val="auto"/>
              </w:rPr>
            </w:pPr>
            <w:r>
              <w:rPr>
                <w:rFonts w:ascii="Times New Roman" w:cs="Times New Roman" w:eastAsia="Times New Roman" w:hAnsi="Times New Roman"/>
                <w:sz w:val="18"/>
                <w:szCs w:val="18"/>
                <w:color w:val="auto"/>
              </w:rPr>
              <w:t>Neither the certificate of incorporation nor bylaws of</w:t>
            </w:r>
          </w:p>
        </w:tc>
        <w:tc>
          <w:tcPr>
            <w:tcW w:w="45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w w:val="99"/>
              </w:rPr>
              <w:t>The Company’s proposed Amended and Restated Certificate</w:t>
            </w:r>
          </w:p>
        </w:tc>
      </w:tr>
      <w:tr>
        <w:trPr>
          <w:trHeight w:val="216"/>
        </w:trPr>
        <w:tc>
          <w:tcPr>
            <w:tcW w:w="2000" w:type="dxa"/>
            <w:vAlign w:val="bottom"/>
          </w:tcPr>
          <w:p>
            <w:pPr>
              <w:spacing w:after="0"/>
              <w:rPr>
                <w:sz w:val="18"/>
                <w:szCs w:val="18"/>
                <w:color w:val="auto"/>
              </w:rPr>
            </w:pPr>
          </w:p>
        </w:tc>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Coeptis include a forum selection provision.</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Incorporation will provide that, unless the Company</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consents in writing to the selection of an alternative forum,</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(i) federal district courts of the United States of America</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shall, to the fullest extent permitted by law, be the exclusive</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forum for resolving any complaint asserting a cause of</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action arising under the Securities Act and (ii) the Court of</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Chancery of the State of Delaware shall, to the fullest extent</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permitted by law, be the sole and exclusive forum for</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actions, actions asserting a breach of fiduciary</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duties, any action arising under Delaware law, or any action</w:t>
            </w:r>
          </w:p>
        </w:tc>
      </w:tr>
      <w:tr>
        <w:trPr>
          <w:trHeight w:val="234"/>
        </w:trPr>
        <w:tc>
          <w:tcPr>
            <w:tcW w:w="20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regarding the internal affairs doctrine.</w:t>
            </w:r>
          </w:p>
        </w:tc>
      </w:tr>
    </w:tbl>
    <w:p>
      <w:pPr>
        <w:spacing w:after="0" w:line="194" w:lineRule="exact"/>
        <w:rPr>
          <w:sz w:val="20"/>
          <w:szCs w:val="20"/>
          <w:color w:val="auto"/>
        </w:rPr>
      </w:pPr>
    </w:p>
    <w:p>
      <w:pPr>
        <w:sectPr>
          <w:pgSz w:w="11900" w:h="16838" w:orient="portrait"/>
          <w:cols w:equalWidth="0" w:num="1">
            <w:col w:w="11240"/>
          </w:cols>
          <w:pgMar w:left="320" w:top="1037" w:right="339" w:bottom="1440" w:gutter="0" w:footer="0" w:header="0"/>
        </w:sect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Indemnification of Officers and</w:t>
      </w:r>
      <w:r>
        <w:rPr>
          <w:sz w:val="20"/>
          <w:szCs w:val="20"/>
          <w:color w:val="auto"/>
        </w:rPr>
        <w:tab/>
      </w:r>
      <w:r>
        <w:rPr>
          <w:rFonts w:ascii="Times New Roman" w:cs="Times New Roman" w:eastAsia="Times New Roman" w:hAnsi="Times New Roman"/>
          <w:sz w:val="18"/>
          <w:szCs w:val="18"/>
          <w:color w:val="auto"/>
        </w:rPr>
        <w:t>Coeptis’ bylaws provide that, Coeptis shall, to the</w:t>
      </w:r>
    </w:p>
    <w:p>
      <w:pPr>
        <w:spacing w:after="0" w:line="31" w:lineRule="exact"/>
        <w:rPr>
          <w:sz w:val="20"/>
          <w:szCs w:val="20"/>
          <w:color w:val="auto"/>
        </w:rPr>
      </w:pPr>
    </w:p>
    <w:p>
      <w:pPr>
        <w:ind w:left="2720" w:hanging="2539"/>
        <w:spacing w:after="0" w:line="250" w:lineRule="auto"/>
        <w:tabs>
          <w:tab w:leader="none" w:pos="270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fullest extent permitted by the DGCL, indemnify and hold harmless each person who was or is made a party to, or is threatened to be made a party to, or is involved in any action, suit or proceeding, whether civil, criminal, administrative or investigative, by reason of the fact that such person is or was a director or officer of Coeptis or is or was serving at the request of Coeptis as a director or officer of another corporation, or of a partnership, joint venture, trust or other enterprise, including service with respect to employee benefit plans, against all expenses, liability and loss (including attorneys’ fees, judgments, fines, ERISA excise taxes and penalties and amount paid or to be paid in settlement) reasonably incurred or suffered by such person in connection therewith, provided such person acted in good faith and in a manner which the person reasonably believed to be in or not opposed to the best interests of Coeptis and, with respect to any criminal action or proceeding, had no reasonable cause to believe the person’s conduct was unlawful. Coeptis shall also indemnify any person in connection with a proceeding initiated by such person if such proceeding was authorized by the board of directors.</w:t>
      </w:r>
    </w:p>
    <w:p>
      <w:pPr>
        <w:spacing w:after="0" w:line="20" w:lineRule="exact"/>
        <w:rPr>
          <w:sz w:val="20"/>
          <w:szCs w:val="20"/>
          <w:color w:val="auto"/>
        </w:rPr>
      </w:pPr>
      <w:r>
        <w:rPr>
          <w:sz w:val="20"/>
          <w:szCs w:val="20"/>
          <w:color w:val="auto"/>
        </w:rPr>
        <w:br w:type="column"/>
      </w:r>
    </w:p>
    <w:p>
      <w:pPr>
        <w:ind w:right="60"/>
        <w:spacing w:after="0" w:line="267" w:lineRule="auto"/>
        <w:rPr>
          <w:sz w:val="20"/>
          <w:szCs w:val="20"/>
          <w:color w:val="auto"/>
        </w:rPr>
      </w:pPr>
      <w:r>
        <w:rPr>
          <w:rFonts w:ascii="Times New Roman" w:cs="Times New Roman" w:eastAsia="Times New Roman" w:hAnsi="Times New Roman"/>
          <w:sz w:val="17"/>
          <w:szCs w:val="17"/>
          <w:color w:val="auto"/>
        </w:rPr>
        <w:t>The Company’s proposed Bylaws will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a director or an officer of the Company or, while a director or officer of the Company, is or was serving at the request of the Company as a director, officer, or trustee of another corporation, or of a partnership, joint venture, trust or other enterprise, including service with respect to an employee benefit plan (an “Indemnitee”), whether the basis of such proceeding is alleged action in an official capacity as a director, officer or trustee or in any other capacity while serving as a director, officer or trustee, shall be indemnified and held harmless by the Company to the fullest extent authorized by the DGCL, as the same exists or may hereafter be amended), against all expense, liability and loss (including attorneys’ fees, judgments, fines, ERISA excise taxes or penalties and amounts paid in settlement) reasonably incurred or suffered by such Indemnitee in connection therewith.</w:t>
      </w:r>
    </w:p>
    <w:p>
      <w:pPr>
        <w:spacing w:after="0" w:line="826" w:lineRule="exact"/>
        <w:rPr>
          <w:sz w:val="20"/>
          <w:szCs w:val="20"/>
          <w:color w:val="auto"/>
        </w:rPr>
      </w:pPr>
    </w:p>
    <w:p>
      <w:pPr>
        <w:sectPr>
          <w:pgSz w:w="11900" w:h="16838" w:orient="portrait"/>
          <w:cols w:equalWidth="0" w:num="2">
            <w:col w:w="6720" w:space="140"/>
            <w:col w:w="4380"/>
          </w:cols>
          <w:pgMar w:left="320" w:top="1037" w:right="339" w:bottom="1440" w:gutter="0" w:footer="0" w:header="0"/>
          <w:type w:val="continuous"/>
        </w:sectPr>
      </w:pPr>
    </w:p>
    <w:p>
      <w:pPr>
        <w:spacing w:after="0" w:line="7" w:lineRule="exact"/>
        <w:rPr>
          <w:sz w:val="20"/>
          <w:szCs w:val="20"/>
          <w:color w:val="auto"/>
        </w:rPr>
      </w:pPr>
    </w:p>
    <w:p>
      <w:pPr>
        <w:ind w:left="2720"/>
        <w:spacing w:after="0" w:line="258" w:lineRule="auto"/>
        <w:rPr>
          <w:sz w:val="20"/>
          <w:szCs w:val="20"/>
          <w:color w:val="auto"/>
        </w:rPr>
      </w:pPr>
      <w:r>
        <w:rPr>
          <w:rFonts w:ascii="Times New Roman" w:cs="Times New Roman" w:eastAsia="Times New Roman" w:hAnsi="Times New Roman"/>
          <w:sz w:val="18"/>
          <w:szCs w:val="18"/>
          <w:color w:val="auto"/>
        </w:rPr>
        <w:t>The indemnification provided for in the bylaws shall not be deemed exclusive of any other rights to which such person may have under any statute, bylaws, agreement, vote or consent of stockholders or disinterested directors or otherwise.</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The indemnification provided for in the Company’s proposed Bylaws shall not be deemed exclusive of any other rights to which such person may have under any statute, bylaws, agreement, vote or consent of stockholders or disinterested directors or otherwise.</w:t>
      </w:r>
    </w:p>
    <w:p>
      <w:pPr>
        <w:spacing w:after="0" w:line="200" w:lineRule="exact"/>
        <w:rPr>
          <w:sz w:val="20"/>
          <w:szCs w:val="20"/>
          <w:color w:val="auto"/>
        </w:rPr>
      </w:pPr>
    </w:p>
    <w:p>
      <w:pPr>
        <w:sectPr>
          <w:pgSz w:w="11900" w:h="16838" w:orient="portrait"/>
          <w:cols w:equalWidth="0" w:num="2">
            <w:col w:w="6540" w:space="320"/>
            <w:col w:w="4380"/>
          </w:cols>
          <w:pgMar w:left="320" w:top="1037" w:right="3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29"/>
        </w:trPr>
        <w:tc>
          <w:tcPr>
            <w:tcW w:w="2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4360" w:type="dxa"/>
            <w:vAlign w:val="bottom"/>
            <w:tcBorders>
              <w:top w:val="single" w:sz="8" w:color="auto"/>
              <w:bottom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Coeptis</w:t>
            </w:r>
          </w:p>
        </w:tc>
        <w:tc>
          <w:tcPr>
            <w:tcW w:w="4440" w:type="dxa"/>
            <w:vAlign w:val="bottom"/>
            <w:tcBorders>
              <w:top w:val="single" w:sz="8" w:color="auto"/>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187"/>
        </w:trPr>
        <w:tc>
          <w:tcPr>
            <w:tcW w:w="24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Declaration and Payment of</w:t>
            </w:r>
          </w:p>
        </w:tc>
        <w:tc>
          <w:tcPr>
            <w:tcW w:w="436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color w:val="auto"/>
              </w:rPr>
              <w:t>The board of directors has the right to declare dividends</w:t>
            </w:r>
          </w:p>
        </w:tc>
        <w:tc>
          <w:tcPr>
            <w:tcW w:w="44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w w:val="99"/>
              </w:rPr>
              <w:t>The Company’s proposed Amended and Restated Certificate</w:t>
            </w:r>
          </w:p>
        </w:tc>
      </w:tr>
      <w:tr>
        <w:trPr>
          <w:trHeight w:val="220"/>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 provided under the DGCL. Coeptis’ certificate of</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Incorporation will provide that subject to the rights of the</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incorporation provides that in the event the Company</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holders of any outstanding series of preferred stock or any</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shall make or issue, or fix a record date for the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class or series of stock having a preference over or the right</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determination of holders of common stock entitled to</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participate with the common stock with respect to the</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receive a dividend or other distribution, then the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dividends, dividends may be declared and paid</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holders of preferred stock shall receive, simultaneously</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set apart for payment upon the common stock out of any</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 the distribution to the holders of common stock, a</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 or funds of the Company legally available for the</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dividend or other distribution of securities in an amount</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dividends, but only when and as declared by the</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equal to the amount of such securities as they would</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Company’s board of directors or any authorized committee</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have received if all outstanding shares of preferred</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thereof.</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had been converted into common stock on such</w:t>
            </w:r>
          </w:p>
        </w:tc>
        <w:tc>
          <w:tcPr>
            <w:tcW w:w="444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Pr>
          <w:p>
            <w:pPr>
              <w:spacing w:after="0"/>
              <w:rPr>
                <w:sz w:val="20"/>
                <w:szCs w:val="20"/>
                <w:color w:val="auto"/>
              </w:rPr>
            </w:pPr>
          </w:p>
        </w:tc>
      </w:tr>
    </w:tbl>
    <w:p>
      <w:pPr>
        <w:spacing w:after="0" w:line="194" w:lineRule="exact"/>
        <w:rPr>
          <w:sz w:val="20"/>
          <w:szCs w:val="20"/>
          <w:color w:val="auto"/>
        </w:rPr>
      </w:pPr>
    </w:p>
    <w:p>
      <w:pPr>
        <w:sectPr>
          <w:pgSz w:w="11900" w:h="16838" w:orient="portrait"/>
          <w:cols w:equalWidth="0" w:num="1">
            <w:col w:w="11240"/>
          </w:cols>
          <w:pgMar w:left="320" w:top="794" w:right="339" w:bottom="1440" w:gutter="0" w:footer="0" w:header="0"/>
        </w:sectPr>
      </w:pPr>
    </w:p>
    <w:p>
      <w:pPr>
        <w:ind w:left="2720" w:right="80" w:hanging="271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Amendments; General Provisions </w:t>
      </w:r>
      <w:r>
        <w:rPr>
          <w:rFonts w:ascii="Times New Roman" w:cs="Times New Roman" w:eastAsia="Times New Roman" w:hAnsi="Times New Roman"/>
          <w:sz w:val="18"/>
          <w:szCs w:val="18"/>
          <w:color w:val="auto"/>
        </w:rPr>
        <w:t>Coeptis’ certificate of incorporation may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altered, changed or repealed in accordance with the DGCL.</w:t>
      </w:r>
    </w:p>
    <w:p>
      <w:pPr>
        <w:spacing w:after="0" w:line="175" w:lineRule="exact"/>
        <w:rPr>
          <w:sz w:val="20"/>
          <w:szCs w:val="20"/>
          <w:color w:val="auto"/>
        </w:rPr>
      </w:pPr>
    </w:p>
    <w:p>
      <w:pPr>
        <w:jc w:val="both"/>
        <w:ind w:left="2720"/>
        <w:spacing w:after="0" w:line="258" w:lineRule="auto"/>
        <w:rPr>
          <w:sz w:val="20"/>
          <w:szCs w:val="20"/>
          <w:color w:val="auto"/>
        </w:rPr>
      </w:pPr>
      <w:r>
        <w:rPr>
          <w:rFonts w:ascii="Times New Roman" w:cs="Times New Roman" w:eastAsia="Times New Roman" w:hAnsi="Times New Roman"/>
          <w:sz w:val="18"/>
          <w:szCs w:val="18"/>
          <w:color w:val="auto"/>
        </w:rPr>
        <w:t>Except as otherwise provided by law, Coeptis’ bylaws may be amended or repealed by the board of directors (except insofar as bylaws adopted by the stockholders shall otherwise provide) or by the stockholders holding a majority of Coeptis’ outstanding voting stock.</w:t>
      </w:r>
    </w:p>
    <w:p>
      <w:pPr>
        <w:spacing w:after="0" w:line="20" w:lineRule="exact"/>
        <w:rPr>
          <w:sz w:val="20"/>
          <w:szCs w:val="20"/>
          <w:color w:val="auto"/>
        </w:rPr>
      </w:pPr>
      <w:r>
        <w:rPr>
          <w:sz w:val="20"/>
          <w:szCs w:val="20"/>
          <w:color w:val="auto"/>
        </w:rPr>
        <w:br w:type="column"/>
      </w:r>
    </w:p>
    <w:p>
      <w:pPr>
        <w:ind w:right="140"/>
        <w:spacing w:after="0" w:line="273" w:lineRule="auto"/>
        <w:rPr>
          <w:sz w:val="20"/>
          <w:szCs w:val="20"/>
          <w:color w:val="auto"/>
        </w:rPr>
      </w:pPr>
      <w:r>
        <w:rPr>
          <w:rFonts w:ascii="Times New Roman" w:cs="Times New Roman" w:eastAsia="Times New Roman" w:hAnsi="Times New Roman"/>
          <w:sz w:val="17"/>
          <w:szCs w:val="17"/>
          <w:color w:val="auto"/>
        </w:rPr>
        <w:t>Under the DGCL, an amendment to the certificate of incorporation generally requires (1) the approval of the board of directors, (2) the approval of the holders of a majority of the voting power of the outstanding stock entitled to vote upon the proposed amendment and (3) the approval of the holders of a majority of the outstanding stock of any class entitled to vote thereon as a class, if any.</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Generally, the DGCL standard for amendment to the Company’s proposed Amended and Restated Certificate of Incorporation described above will apply. However, Articles V and IX of the Company’s proposed Amended and Restated Certificate of Incorporation will only be permitted to be amended by the affirmative vote of the holders of at least a majority in voting power of the outstanding shares entitled to vote on such amendment.</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Except as otherwise provided by law, the Company’s proposed Bylaws will only be permitted to be amended or repealed by the board of directors by the affirmative vote of a majority of the directors or by the affirmative vote of the holders of at least a majority in voting power of the outstanding shares entitled to vote on such amendment or repeal, voting together as a single class.</w:t>
      </w:r>
    </w:p>
    <w:p>
      <w:pPr>
        <w:spacing w:after="0" w:line="185" w:lineRule="exact"/>
        <w:rPr>
          <w:sz w:val="20"/>
          <w:szCs w:val="20"/>
          <w:color w:val="auto"/>
        </w:rPr>
      </w:pPr>
    </w:p>
    <w:p>
      <w:pPr>
        <w:sectPr>
          <w:pgSz w:w="11900" w:h="16838" w:orient="portrait"/>
          <w:cols w:equalWidth="0" w:num="2">
            <w:col w:w="6700" w:space="160"/>
            <w:col w:w="4380"/>
          </w:cols>
          <w:pgMar w:left="320" w:top="79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Description of Bull Horn’s Shares Prior to the Domestication and Business Combination</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Bull Horn is a company incorporated in the British Virgin Islands as a BVI business company (company number 1999615) and Bull Horn’s affairs are governed by its Memorandum and Articles of Association, the Companies Act and the common law of the British Virgin Islands. Bull Horn is authorized to issue an unlimited number of both ordinary shares of no par value and preferred shares of no par value. As of September 1, 2022, the Bull Horn Record Date (“BH Record Date”), there was a total of 5,116,414 ordinary shares outstanding (including 3,241,414 public shares) and no preferred shares outstanding.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229"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Each Unit consists of one ordinary share and one warrant. Each warrant entitles the holder to purchase one-half of one ordinary share exercisable at $11.50 per share, subject to adjustment as described in this proxy statement. Warrants must be exercised for whole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Under the Companies Act, the ordinary shares are deemed to be issued when the name of the shareholder is entered in Bull Horn’s register of members. Bull Horn’s register of members is maintained by Bull Horn’s transfer agent Continental Stock Transfer &amp; Trust Company, which entered the name of Cede &amp; Co. in Bull Horn’s register of members on the closing of its initial public offering as nominee for each of the respective public shareholders. If (a) information that is required to be entered in the register of members is omitted from the register or is inaccurately entered in the register, or (b) there is unreasonable delay in entering information in the register, a shareholder of the company, or any person who is aggrieved by the omission, inaccuracy or delay, may apply to the British Virgin Islands Courts for an order that the register be rectified, and the court may either refuse the application or order the rectification of the register, and may direct the company to pay all costs of the application and any damages the applicant may have sustained.</w:t>
      </w:r>
    </w:p>
    <w:p>
      <w:pPr>
        <w:spacing w:after="0" w:line="18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At any general meeting of Bull Horn on a show of hands every ordinary shareholder who is present in person (or, in the case of a shareholder being a corporation, by its duly authorized representative) or by proxy will have one vote for each share held on all matters to be voted on by shareholders. Voting at any meeting of the ordinary shareholders is by show of hands unless a poll is demanded. A poll may be demanded by shareholders present in person or by proxy if the shareholder disputes the outcome of the vote on a proposed resolution and the chairman shall cause a poll to be taken. Prior to the consummation of the initial business combination, the rights attaching to ordinary shares (including those provisions designed to provide certain rights and protections to Bull Horn’s ordinary shareholders) may only be amended by a resolution of persons holding 65% (or 50% if approved in connection with Bull Horn’s initial business combination) of its outstanding ordinary shares attending and voting on such amendment. Other provisions of Bull Horn’s memorandum and articles of association may be amended prior to the consummation of its initial business combination if approved by a majority of the votes of shareholders attending and voting on such amendment or, subject to certain limitations, by resolution of the directors. Following the consummation of, or in connection with, the initial business combination, the rights and obligations attaching to Bull Horn’s ordinary shares and other provisions of its memorandum and articles of association may be amended if approved by a majority of the votes of shareholders attending and voting on such amendment or by resolution of the directors. Bull Horn’s board of directors is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Bull Horn’s shareholders are entitled to receive ratable dividends when, as and if declared by the board of directors out of funds legally available therefore.</w:t>
      </w:r>
    </w:p>
    <w:p>
      <w:pPr>
        <w:spacing w:after="0" w:line="19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Bull Horn may not intend to hold an annual meeting of shareholders until after it consummates the initial business combination. Therefore, if the Bull Horn shareholders want it to hold a meeting prior to such consummation, they may requisition the directors to hold one upon the written request of members entitled to exercise at least 30 percent of the voting rights in respect of the matter for which the meeting is requested. Under British Virgin Islands law, Bull Horn may not increase the required percentage to call a meeting above such 30 percent level.</w:t>
      </w:r>
    </w:p>
    <w:p>
      <w:pPr>
        <w:spacing w:after="0" w:line="180"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memorandum and articles of association of Bull Horn will require it to provide the Bull Horn public shareholders with the opportunity to redeem their shares upon the consummation of our initial business combination at a per-share price, payable in cash, equal to the aggregate amount then on deposit in the trust account, including interest (net of taxes payable), divided by the number of then outstanding public shares, subject to the limitations described herein and any limitations (including but not limited to cash requirements) agreed to in connection with the negotiation of terms of a proposed business combination. The per-share amount Bull Horn will distribute to its investors who properly redeem their shares will not be reduced by the deferred underwriting commissions Bull Horn will pay to the underwriters. The initial shareholders of Bull Horn have agreed to waive their redemption rights with respect to their founder shares and public shares in connection with the consummation of our initial business combination. Bull Horn intends to obtain shareholder approval in connection with the initial business combination. If Bull Horn so decides, it may, like many blank check companies, offer to redeem shares in conjunction with a proxy solicitation pursuant to the proxy rules and not pursuant to the tender offer rules. If Bull Horn seeks shareholder approval, it will consummate our initial business combination only if a majority of the votes of ordinary shareholders who being so entitled attend and vote at the general meeting are voted in favor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5" w:name="page126"/>
    <w:bookmarkEnd w:id="125"/>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Bull Horn shareholders are entitled to receive ratable dividends when, as and if declared by the board of directors out of legally available funds. In the event of a liquidation or winding up of the company after its initial business combination, its shareholders are entitled to share ratably in all assets remaining available for distribution to them after payment of liabilities and after provision is made for each class of shares, if any, having preference over the ordinary shares. The Bull Horn shareholders have no preemptive or other subscription rights. There are no sinking fund provisions applicable to the ordinary shares, except that Bull Horn will provide its public shareholders with the redemption rights set forth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founder shares of Bull Horn are identical to the other ordinary shares included in the Units being sold in the initial public offering, and holders of founder shares have the same shareholder rights as public shareholders, except that (i) the founder shares are subject to certain transfer restrictions, as described in more detail below, and (ii) the Bull Horn initial shareholders have agreed (A) to waive their rights to liquidating distributions with respect to their founder shares and public shares in connection with the consummation of the initial business combination, (B) to waive their redemption rights with respect to their founder shares if Bull horn fails to consummate the initial business combination by November 3, 2022, although they will be entitled to redemption rights with respect to any public shares they hold if Bull Horn fails to consummate the initial business combination within such time period and</w:t>
      </w:r>
    </w:p>
    <w:p>
      <w:pPr>
        <w:spacing w:after="0" w:line="5" w:lineRule="exact"/>
        <w:rPr>
          <w:sz w:val="20"/>
          <w:szCs w:val="20"/>
          <w:color w:val="auto"/>
        </w:rPr>
      </w:pPr>
    </w:p>
    <w:p>
      <w:pPr>
        <w:ind w:right="40" w:firstLine="8"/>
        <w:spacing w:after="0" w:line="252" w:lineRule="auto"/>
        <w:tabs>
          <w:tab w:leader="none" w:pos="2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their redemption rights with respect to their founder shares and public shares in connection with a shareholder vote to approve an amendment to the amended and restated memorandum and articles of association (a) to modify the substance or timing of Bull Horn’s obligation to redeem 100% of its public shares if it does not complete the initial business combination by November 3, 2022 or (b) with respect to any other provision relating to shareholders’ rights or pre-initial business combination activity. The initial shareholders of Bull Horn have agreed to vote their founder shares and any public shares purchased during or after the offering in favor of the initial business combination and the Bull Horn officers and directors have also agreed to vote any public shares purchased during or after the offering in favor of the initial business combination.</w:t>
      </w:r>
    </w:p>
    <w:p>
      <w:pPr>
        <w:spacing w:after="0" w:line="190"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initial shareholders of Bull Horn have agreed not to transfer, assign or sell any of the founder shares (except to certain permitted transferees as described below) until, with respect to 50% of the founder shares, the earlier of (i) six months after the date of the consummation of the initial business combination or (ii) the date on which the closing price of Bull Horn’s ordinary shares equals or exceeds $12.50 per share (as adjusted for stock splits, stock dividends, reorganizations and recapitalizations) for any 20 trading days within any 30-trading day period commencing after the initial business combination, with respect to the remaining 50% of the founder shares, upon six months after the date of the consummation of the initial business combination, or earlier, in either case, if, subsequent to the initial business combination, Bull Horn consummates a subsequent liquidation, merger, stock exchange or other similar transaction which results in all of its shareholders having the right to exchange their ordinary shares for cash, securities or other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memorandum and articles of association of Bull Horn authorizes the creation and issuance without shareholder approval of an unlimited number of preferred shares divided into five classes, Class A through Class E each with such designation, rights and preferences as may be determined by a resolution of the Bull Horn board of directors to amend the memorandum and articles of association to create such designations, rights and preferences. Bull Horn has five classes of preferred shares to give it flexibility as to the terms on which each Class is issued. Unlike Delaware law, all shares of a single class must be issued with the same rights and obligations. Accordingly, starting with five classes of preferred shares will allow it to issue shares at different times on different terms. No preferred shares are currently issued or outstanding. Accordingly, the Bull Horn board of directors is empowered, without shareholder approval, to issue preferred shares with dividend, liquidation, redemption, voting or other rights, which could adversely affect the voting power or other rights of the holders of ordinary shares. However, the underwriting agreement prohibits Bull Horn, prior to the initial business combination, from issuing preferred shares which participate in any manner in the proceeds of the trust account, or which vote as a class with the ordinary shares on the initial business combination. Bull Horn may issue some or all of the preferred shares to effect the initial business combination. In addition, the preferred shares could be utilized as a method of discouraging, delaying or preventing a change in control of Bull Horn. Although Bull Horn do not currently intend to issue any preferred shares, it may do so in the future.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26" w:name="page127"/>
    <w:bookmarkEnd w:id="126"/>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rights of preferred shareholders, once the preferred shares are in issue, may only be amended by a resolution to amend the Bull Horn memorandum and articles of association provided such amendment is also approved by a separate resolution of a majority of the votes of preferred shareholders who being so entitled attend and vote at the class meeting of the relevant preferred class. If the preferred shareholders want Bull Horn to hold a meeting of preferred shareholders (or of a class of preferred shareholders), they may requisition the directors to hold one upon the written request of preferred shareholders entitled to exercise at least 30 percent of the voting rights in respect of the matter (or class) for which the meeting is requested. Under British Virgin Islands law, we may not increase the required percentage to call a meeting above 30 percent.</w:t>
      </w:r>
    </w:p>
    <w:p>
      <w:pPr>
        <w:spacing w:after="0" w:line="18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Under the Companies Act there are no provisions which specifically prevent the issuance of preferred shares or any such other “poison pill” measures. The memorandum and articles of association also do not contain any express prohibitions on the issuance of any preferred shares. Therefore, the directors of Bull Horn, without the approval of the holders of ordinary shares, may issue preferred shares that have characteristics that me be deemed anti-takeover. Additionally, such a designation of shares may be used in connection with plans that are poison pill plans. However, as noted above under the Companies Act, a director in the exercise of his powers and performance of his duties is required to act honestly and in good faith in what the director believes to be the best interests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As of the BH Record Date, there were 11,164,646 warrants outstanding. Each warrant entitles the holder thereof to purchase one-half of one ordinary share at a price of $11.50 per whole share, subject to adjustment as described in this proxy statement, at any time commencing on October 29, 2021. Pursuant to the warrant agreement, a warrantholder may exercise its warrants only for a whole number of shares. If, upon exercise of the warrants, a holder would be entitled to receive a fractional interest in a share, we will, upon exercise, round down to the nearest whole number the number of ordinary shares to be issued to the warrantholder. However, no public warrants will be exercisable for cash unless Bull Horn has an effective and current registration statement covering the issuance of the ordinary shares issuable upon exercise of the warrants and a current prospectus relating to such ordinary shares. Notwithstanding the foregoing, if a registration statement covering the issuance of the ordinary shares issuable upon exercise of the public warrants is not effective within 90 days from the closing of the initial business combination, warrant holders may, until such time as there is an effective registration statement and during any period when Bull Horn shall have failed to maintain an effective registration statement, exercise warrants on a cashless basis pursuant to an available exemption from registration under the Securities Act. If an exemption from registration is not available, holders will not be able to exercise their warrants on a cashless basis. The warrants will expire five years from the closing of our initial business combination at 5:00 p.m., New York City time or earlier redemption.</w:t>
      </w:r>
    </w:p>
    <w:p>
      <w:pPr>
        <w:spacing w:after="0" w:line="19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private warrants will be identical to the public warrants underlying the Units that were offered in the Bull Horn initial public offering except that the private placement warrants only allow the holder thereof to one ordinary share, are non-redeemable, and will be exercisable for cash (even if a registration statement covering the issuance of the ordinary shares issuable upon exercise of such warrants is not effective) or on a cashless basis, at the holder’s option, and will not be redeemable by Bull Horn, in each case so long as they are still held by the initial purchasers or their affiliates. In addition, for as long as the private warrants are held by Imperial, I-Bankers or Northland or their designees or affiliates, they may not be exercised after October 29, 2025.</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Bull Horn may call the warrants for redemption (excluding the private warrants), in whole and not in part, at a price of $0.01 per warrant:</w:t>
      </w:r>
    </w:p>
    <w:p>
      <w:pPr>
        <w:spacing w:after="0" w:line="225" w:lineRule="exact"/>
        <w:rPr>
          <w:sz w:val="20"/>
          <w:szCs w:val="20"/>
          <w:color w:val="auto"/>
        </w:rPr>
      </w:pPr>
    </w:p>
    <w:p>
      <w:pPr>
        <w:ind w:left="880" w:hanging="440"/>
        <w:spacing w:after="0"/>
        <w:tabs>
          <w:tab w:leader="none" w:pos="8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225" w:lineRule="exact"/>
        <w:rPr>
          <w:rFonts w:ascii="Times New Roman" w:cs="Times New Roman" w:eastAsia="Times New Roman" w:hAnsi="Times New Roman"/>
          <w:sz w:val="18"/>
          <w:szCs w:val="18"/>
          <w:color w:val="auto"/>
        </w:rPr>
      </w:pPr>
    </w:p>
    <w:p>
      <w:pPr>
        <w:ind w:left="880" w:right="720" w:hanging="440"/>
        <w:spacing w:after="0" w:line="266" w:lineRule="auto"/>
        <w:tabs>
          <w:tab w:leader="none" w:pos="8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ordinary shares equals or exceeds $16.50 per share (as adjusted for stock splits, stock dividends, reorganizations and recapitalizations), for any 20 trading days within a 30 trading day period ending on the third trading business day prior to the notice of redemption to warrant holders, and</w:t>
      </w:r>
    </w:p>
    <w:p>
      <w:pPr>
        <w:spacing w:after="0" w:line="175" w:lineRule="exact"/>
        <w:rPr>
          <w:rFonts w:ascii="Times New Roman" w:cs="Times New Roman" w:eastAsia="Times New Roman" w:hAnsi="Times New Roman"/>
          <w:sz w:val="18"/>
          <w:szCs w:val="18"/>
          <w:color w:val="auto"/>
        </w:rPr>
      </w:pPr>
    </w:p>
    <w:p>
      <w:pPr>
        <w:ind w:left="880" w:right="120" w:hanging="440"/>
        <w:spacing w:after="0" w:line="266" w:lineRule="auto"/>
        <w:tabs>
          <w:tab w:leader="none" w:pos="8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issuance of the ordinary shares underlying such warrants at the time of redemption and for the entire 30-day trading period referred to above and continuing each day thereafter until the date of redemption.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127" w:name="page128"/>
    <w:bookmarkEnd w:id="127"/>
    <w:p>
      <w:pPr>
        <w:ind w:firstLine="432"/>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76"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redemption criteria for the Bull Horn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7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If and when the warrants become redeemable by Bull Horn, it may not exercise the redemption right if the issuance of ordinary shares upon exercise of the warrants is not exempt from registration or qualification under applicable state blue sky laws or Bull Horn is unable to effect such registration or qualification. Bull Horn will use its best efforts to register or qualify such ordinary shares under the blue sky laws of the state of residence in those states in which the warrants were offered by Bull Horn in its initial public offering.</w:t>
      </w:r>
    </w:p>
    <w:p>
      <w:pPr>
        <w:spacing w:after="0" w:line="180"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If Bull Horn call the warrants for redemption as described above, its management will have the option to require all holders that wish to exercise warrants to do so on a “cashless basis.” In such event, each holder would pay the exercise price by surrendering the warrants for that number of ordinary shares equal to the quotient obtained by dividing (x) the product of the number of ordinary shares underlying the warrants, multiplied by the difference between the exercise price of the warrants and the “fair market value” (defined below) by (y) the fair market value. The “fair market value” shall mean the average reported last sale price of the ordinary shares for the 10 trading days ending on the third trading day prior to the date on which the notice of redemption is sent to the holders of warrants. Whether Bull Horn will exercise its option to require all holders to exercise their warrants on a “cashless basis” will depend on a variety of factors including the price of the ordinary shares at the time the warrants are called for redemption, Bull Horn’s cash needs at such time and concerns regarding dilutive share issuances.</w:t>
      </w:r>
    </w:p>
    <w:p>
      <w:pPr>
        <w:spacing w:after="0" w:line="192"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In addition, if (x) Bull Horn issues additional shares or equity-linked securities for capital raising purposes in connection with the closing of its initial business combination at an issue price or effective issue price of less than $9.50 per share (as adjusted for splits, dividends, rights issuances, subdivisions, reorganizations, recapitalizations and the like) (with such issue price or effective issue price to be determined in good faith by the board of directors, and in the case of any such issuance to Bull Horn’s sponsor, initial shareholders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Bull Horn’s initial business combination (net of redemptions), and (z) the volume weighted average trading price of Bull Horn’s ordinary shares during the 20 trading day period starting on the trading day prior to the day on which Bull Horn consummates its initial business combination (such price, the “Market Value”) is below $9.50 per share, the exercise price of the warrants will be adjusted (to the nearest cent) to be equal to 115% of the higher of (i) the Market Value and (ii) the Newly Issued Price, and the $16.50 per share redemption trigger price described below under “Redemption” will be adjusted (to the nearest cent) to be equal to 165% of the higher of (i) the Market Value and (ii) the Newly Issued Price.</w:t>
      </w:r>
    </w:p>
    <w:p>
      <w:pPr>
        <w:spacing w:after="0" w:line="192" w:lineRule="exact"/>
        <w:rPr>
          <w:sz w:val="20"/>
          <w:szCs w:val="20"/>
          <w:color w:val="auto"/>
        </w:rPr>
      </w:pPr>
    </w:p>
    <w:p>
      <w:pPr>
        <w:ind w:right="40" w:firstLine="432"/>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Bull Horn with or into another corporation (other than a consolidation or merger in which Bull Horn is the continuing corporation and that does not result in any reclassification or reorganization of the outstanding ordinary shares), or in the case of any sale or conveyance to another corporation or entity of the assets or other property of Bull Horn as an entirety or substantially as an entirety in connection with which Bull Horn is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 The Bull Horn warrants were issued in registered form under a warrant agreement between Continental Stock Transfer &amp; Trust Company, as warrant agent, and Bull Horn. The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8" w:name="page129"/>
    <w:bookmarkEnd w:id="128"/>
    <w:p>
      <w:pPr>
        <w:ind w:firstLine="432"/>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ordinary shares issuable on exercise of the warrants may be adjusted in certain circumstances including in the event of a share dividend, extraordinary dividend or our recapitalization, reorganization, merger or consolidation. However, the warrants will not be adjusted for issuances of ordinary shares at a price below their respective exercise prices.</w:t>
      </w:r>
    </w:p>
    <w:p>
      <w:pPr>
        <w:spacing w:after="0" w:line="176"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Bull Horn,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187"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Except as described above, no public warrants will be exercisable and Bull Horn will not be obligated to issue ordinary shares unless at the time a holder seeks to exercise such warrant, a prospectus relating to the ordinary shares issuable upon exercise of the warrants is current and the ordinary shares have been registered or qualified or deemed to be exempt under the securities laws of the state of residence of the holder of the warrants. Under the terms of the warrant agreement, Bull Horn has agreed to use its best efforts to meet these conditions and to maintain a current prospectus relating to the ordinary shares issuable upon exercise of the warrants until the expiration of the warrants. However, Bull Horn cannot assure you that it will be able to do so and, if it does not maintain a current prospectus relating to the ordinary shares issuable upon exercise of the warrants, holders will be unable to exercise their warrants and Bull Horn will not be required to settle any such warrant exercise. If the prospectus relating to the ordinary shares issuable upon the exercise of the warrants is not current or if the ordinary shares is not qualified or exempt from qualification in the jurisdictions in which the holders of the warrants reside, Bull Horn will not be required to net cash settle or cash settle the warrant exercise, the warrants may have no value, the market for the warrants may be limited and the warrants may expire worthless.</w:t>
      </w:r>
    </w:p>
    <w:p>
      <w:pPr>
        <w:spacing w:after="0" w:line="194"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ordinary shares outstanding.</w:t>
      </w:r>
    </w:p>
    <w:p>
      <w:pPr>
        <w:spacing w:after="0" w:line="176" w:lineRule="exact"/>
        <w:rPr>
          <w:sz w:val="20"/>
          <w:szCs w:val="20"/>
          <w:color w:val="auto"/>
        </w:rPr>
      </w:pPr>
    </w:p>
    <w:p>
      <w:pPr>
        <w:ind w:firstLine="432"/>
        <w:spacing w:after="0" w:line="312" w:lineRule="auto"/>
        <w:rPr>
          <w:sz w:val="20"/>
          <w:szCs w:val="20"/>
          <w:color w:val="auto"/>
        </w:rPr>
      </w:pPr>
      <w:r>
        <w:rPr>
          <w:rFonts w:ascii="Times New Roman" w:cs="Times New Roman" w:eastAsia="Times New Roman" w:hAnsi="Times New Roman"/>
          <w:sz w:val="17"/>
          <w:szCs w:val="17"/>
          <w:color w:val="auto"/>
        </w:rPr>
        <w:t>No fractional shares will be issued upon exercise of the warrants. If, upon exercise of the warrants, a holder would be entitled to receive a fractional interest in a share, Bull Horn will, upon exercise, round down to the nearest whole number the number of ordinary shares to be issued to the warrant holder.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Bull Horn has not paid any cash dividends on its ordinary shares to date and do not intend to pay cash dividends prior to the completion of Bull Horn’s initial business combination. The payment of cash dividends in the future will be dependent upon Bull Horn’s revenues and earnings, if any, capital requirements and general financial condition subsequent to completion of Bull Horn’s initial business combination. The payment of any dividends subsequent to Bull Horn’s initial business combination will be within the discretion of Bull Horn’s then board of directors. It is the present intention of the Bull Horn Board to retain all earnings, if any, for use in Bull Horn’s business operations and, accordingly, Bull Horn board does not anticipate declaring any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Private Placement Warrants (or ordinary shares issuable upon exercise of such warrants) will not be transferable, assignable or salable until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days after the completion of the initial business combination (except, among other limited exceptions, to our officers and directors and other persons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 affiliated with the sponsor) and they will not be redeemable by us so long as they are held by members of the sponsor, Imperial, I-Bankers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respectively, or their permitted transferees. Otherwise, the Private Placement Warrants have terms and provisions that are identical to the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sold in our initial public offering except the Private Placement Warrants only allow the holder thereof to one ordinary share and will be non-redeemable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exercised on a cashless basis, in each case so long as they continue to be held by the initial purchasers or their permitted transferees. If the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Warrants are held by holders other than the holders who purchased such warrants or their permitted transferees, the Private Placement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redeemable by us and exercisable by the holders on the same basis as the warrants included in the Units being sold in the initial public offering.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for as long as the Private Placement Warrants are held by Imperial, I-Bankers or Northland or their designees or affiliates, they may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after October 29, 2025. The price of the Private Placement Warrants was determined in negotiations between the Bull Horn sponsor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of the underwriters for the initial public offering, with reference to the prices paid by initial shareholders for such warrants in special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companies, which have recently consummated their initial public offerings.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Bull Horn’s Transfer Agent and Warrant Agent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transfer agent for Bull Horn’s ordinary shares and warrant agent for Bull Horn’s warrants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jc w:val="both"/>
        <w:ind w:right="200" w:firstLine="432"/>
        <w:spacing w:after="0" w:line="266" w:lineRule="auto"/>
        <w:rPr>
          <w:sz w:val="20"/>
          <w:szCs w:val="20"/>
          <w:color w:val="auto"/>
        </w:rPr>
      </w:pPr>
      <w:r>
        <w:rPr>
          <w:rFonts w:ascii="Times New Roman" w:cs="Times New Roman" w:eastAsia="Times New Roman" w:hAnsi="Times New Roman"/>
          <w:sz w:val="18"/>
          <w:szCs w:val="18"/>
          <w:color w:val="auto"/>
        </w:rPr>
        <w:t>As set forth in the memorandum of association, the objects for which Bull Horn is established are unrestricted and Bull Horn shall have full power and authority to carry out any object not prohibited by the Companies Act (as the same may be revised from time to time), or any other law of the British Virgin Islands.</w:t>
      </w:r>
    </w:p>
    <w:p>
      <w:pPr>
        <w:spacing w:after="0" w:line="17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Bull Horn’s Memorandum and Articles of Association contains provisions designed to provide certain rights and protections to Bull Horn’s ordinary shareholders prior to the consummation of Bull Horn’s initial business combination. These provisions cannot be amended without the approval of 65% (or 50% if approved in connection with Bull Horn’s initial business combination) of Bull Horn’s outstanding ordinary shares attending and voting on such amendment. Bull Horn’s initial shareholders, who as of the BH Record Date beneficially own approximately 36.6% of Bull Horn’s ordinary shares, will participate in any vote to amend Bull Horn’s Memorandum and Articles of Association and will have the discretion to vote in any manner they choose. Bull Horn and its directors and officers have agreed not to propose any amendment to Bull Horn’s Memorandum and Articles of Association that would affect the substance and timing of Bull Horn’s obligation to redeem Bull Horn’s public shares if Bull Horn is unable to consummate its initial business combination by November 3, 2022. Bull Horn’s initial shareholders have agreed to waive any Redemption Rights with respect to any founder shares and any public shares they may hold in connection with any vote to amend Bull Horn’s Memorandum and Articles of Association prior to Bull Horn’s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0" w:name="page131"/>
    <w:bookmarkEnd w:id="130"/>
    <w:p>
      <w:pPr>
        <w:ind w:left="440"/>
        <w:spacing w:after="0"/>
        <w:rPr>
          <w:sz w:val="20"/>
          <w:szCs w:val="20"/>
          <w:color w:val="auto"/>
        </w:rPr>
      </w:pPr>
      <w:r>
        <w:rPr>
          <w:rFonts w:ascii="Times New Roman" w:cs="Times New Roman" w:eastAsia="Times New Roman" w:hAnsi="Times New Roman"/>
          <w:sz w:val="18"/>
          <w:szCs w:val="18"/>
          <w:color w:val="auto"/>
        </w:rPr>
        <w:t>Specifically, Bull Horn’s Memorandum and Articles of Association provide, among other things, that:</w:t>
      </w:r>
    </w:p>
    <w:p>
      <w:pPr>
        <w:spacing w:after="0" w:line="225" w:lineRule="exact"/>
        <w:rPr>
          <w:sz w:val="20"/>
          <w:szCs w:val="20"/>
          <w:color w:val="auto"/>
        </w:rPr>
      </w:pPr>
    </w:p>
    <w:p>
      <w:pPr>
        <w:ind w:left="880" w:right="20" w:hanging="440"/>
        <w:spacing w:after="0" w:line="277" w:lineRule="auto"/>
        <w:tabs>
          <w:tab w:leader="none" w:pos="88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Bull Horn is unable to consummate its initial business combination by November 3, 2022, Bull Horn will, as promptly as reasonably possible but not more than five (5) business days thereafter, distribute the aggregate amount then on deposit in the trust account (net of taxes payable, and less up to $50,000 of interest to pay liquidation expenses), pro rata to Bull Horn’s public shareholders by way of redemption and cease all operations except for the purposes of winding up of Bull Horn’s affairs. This redemption of public shareholders from the trust account shall be effected as required by function of Bull Horn’s Memorandum and Articles of Association and prior to commencing any voluntary liquidation;</w:t>
      </w:r>
    </w:p>
    <w:p>
      <w:pPr>
        <w:spacing w:after="0" w:line="167" w:lineRule="exact"/>
        <w:rPr>
          <w:rFonts w:ascii="Times New Roman" w:cs="Times New Roman" w:eastAsia="Times New Roman" w:hAnsi="Times New Roman"/>
          <w:sz w:val="17"/>
          <w:szCs w:val="17"/>
          <w:color w:val="auto"/>
        </w:rPr>
      </w:pPr>
    </w:p>
    <w:p>
      <w:pPr>
        <w:ind w:left="880" w:right="20" w:hanging="440"/>
        <w:spacing w:after="0" w:line="266" w:lineRule="auto"/>
        <w:tabs>
          <w:tab w:leader="none" w:pos="8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the consummation of Bull Horn’s initial business combination, prior to Bull Horn’s initial business combination, Bull Horn may not issue any securities (other than public shares) that would entitle the holders thereof to (i) receive funds from the trust account or (ii) vote on any initial business combination;</w:t>
      </w:r>
    </w:p>
    <w:p>
      <w:pPr>
        <w:spacing w:after="0" w:line="175" w:lineRule="exact"/>
        <w:rPr>
          <w:rFonts w:ascii="Times New Roman" w:cs="Times New Roman" w:eastAsia="Times New Roman" w:hAnsi="Times New Roman"/>
          <w:sz w:val="18"/>
          <w:szCs w:val="18"/>
          <w:color w:val="auto"/>
        </w:rPr>
      </w:pPr>
    </w:p>
    <w:p>
      <w:pPr>
        <w:ind w:left="880" w:right="140" w:hanging="440"/>
        <w:spacing w:after="0" w:line="258" w:lineRule="auto"/>
        <w:tabs>
          <w:tab w:leader="none" w:pos="8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Bull Horn does not intend to enter into Bull Horn’s initial business combination with a target business that is affiliated with the sponsor, Bull Horn’s directors or officers, Bull Horn is not prohibited from doing so. In the event Bull Horn seeks to complete an initial business combination with a target that is affiliated with the sponsor, officers or directors, Bull Horn, or a committee of independent directors, would obtain an opinion from an independent accounting firm, or independent investment banking firm that Bull Horn’s initial business combination is fair to Bull Horn from a financial point of view; and</w:t>
      </w:r>
    </w:p>
    <w:p>
      <w:pPr>
        <w:spacing w:after="0" w:line="18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Bull Horn will not effectuate an initial business combination with another blank check company or a similar company with nominal operations.</w:t>
      </w:r>
    </w:p>
    <w:p>
      <w:pPr>
        <w:spacing w:after="0" w:line="225"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In addition, Bull Horn’s Memorandum and Articles of Association provide that under no circumstances will Bull Horn redeem its public shares in an amount that would cause Bull Horn’s net tangible assets to be less than $5,000,001 upon the consummation of its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Authorized Shares</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Bull Horn is authorized to issue an unlimited number of shares, which will have the rights, privileges, restrictions and conditions attaching to them as set out in Bull Horn’s Memorandum and Articles of Association. Bull Horn may by, resolution of directors or shareholders, create new classes of shares with preferences to be determined by resolution of the board of directors to amend the memorandum and articles of association to create new classes of shares with such preferences at the time of authorization, although any such new classes of shares, with the exception of the preferred shares, may only be created with prior shareholder approval.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Pre-emption Rights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no pre-emption rights applicable to the issuance of new shares under Bull Horn’s Memorandum and Articles of Association.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As permitted by the Companies Act and Bull Horn’s memorandum of association, Bull Horn may vary the rights attached to any class of shares only with: (i) in the case of the ordinary shares prior to Bull Horn’s initial business combination, the consent of not less than 65% (or 50% if for the purposes of approving, or in connection with, the consummation of Bull Horn’s initial business combination) of the votes who are in attendance and vote at a meeting, or (ii) in the case of the preferred shares, 50% of the votes of shareholders who being so entitled attend and vote at a meeting of such shares, except, in each case where a greater majority is required under Bull Horn’s Memorandum and Articles of Association or the Companies Act, provided that that for these purposes the creation, designation or issue of preferred shares with rights and privileges ranking pari passu to an existing class of shares is deemed not to be a variation of the rights of such existing class and may in accordance with Bull Horn’s Memorandum and Articles of Association be effected by resolution of directors without shareholder approval.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Capital Stock of the Company after the Business Combination</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following summary sets forth the material terms of the Company’s securities following the completion of the Business Combination. The following summary is not intended to be a complete summary of the rights and preferences of such securities and is qualified by reference to the proposed Amended and Restated Certificate of Incorporation, a form of which is attached as </w:t>
      </w:r>
      <w:r>
        <w:rPr>
          <w:rFonts w:ascii="Times New Roman" w:cs="Times New Roman" w:eastAsia="Times New Roman" w:hAnsi="Times New Roman"/>
          <w:sz w:val="18"/>
          <w:szCs w:val="18"/>
          <w:i w:val="1"/>
          <w:iCs w:val="1"/>
          <w:u w:val="single" w:color="auto"/>
          <w:color w:val="0000EE"/>
        </w:rPr>
        <w:t>Annex B</w:t>
      </w:r>
      <w:r>
        <w:rPr>
          <w:rFonts w:ascii="Times New Roman" w:cs="Times New Roman" w:eastAsia="Times New Roman" w:hAnsi="Times New Roman"/>
          <w:sz w:val="18"/>
          <w:szCs w:val="18"/>
          <w:color w:val="auto"/>
        </w:rPr>
        <w:t xml:space="preserve"> to this proxy statement, and the proposed Bylaws, a form of which is attached as </w:t>
      </w:r>
      <w:r>
        <w:rPr>
          <w:rFonts w:ascii="Times New Roman" w:cs="Times New Roman" w:eastAsia="Times New Roman" w:hAnsi="Times New Roman"/>
          <w:sz w:val="18"/>
          <w:szCs w:val="18"/>
          <w:i w:val="1"/>
          <w:iCs w:val="1"/>
          <w:u w:val="single" w:color="auto"/>
          <w:color w:val="0000EE"/>
        </w:rPr>
        <w:t>Annex C</w:t>
      </w:r>
      <w:r>
        <w:rPr>
          <w:rFonts w:ascii="Times New Roman" w:cs="Times New Roman" w:eastAsia="Times New Roman" w:hAnsi="Times New Roman"/>
          <w:sz w:val="18"/>
          <w:szCs w:val="18"/>
          <w:color w:val="auto"/>
        </w:rPr>
        <w:t xml:space="preserve"> to this proxy statement. We urge you to read the proposed Amended and Restated Certificate of Incorporation and Bylaws in their entirety for a complete description of the rights and preferences of the Company’s securities following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authorized capital stock will consist of:</w:t>
      </w:r>
    </w:p>
    <w:p>
      <w:pPr>
        <w:spacing w:after="0" w:line="225" w:lineRule="exact"/>
        <w:rPr>
          <w:sz w:val="20"/>
          <w:szCs w:val="20"/>
          <w:color w:val="auto"/>
        </w:rPr>
      </w:pPr>
    </w:p>
    <w:p>
      <w:pPr>
        <w:ind w:left="880" w:hanging="440"/>
        <w:spacing w:after="0"/>
        <w:tabs>
          <w:tab w:leader="none" w:pos="8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 shares of common stock, par value $0.0001 per share;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$0.0001 per share.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5"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The holders of common stock will be entitled to one vote for each share held of record on all matters on which the holders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(or consent pursuant to written consent). Directors will be elected by a plurality of the votes present in person or represented by proxy and entitled to vote.</w:t>
      </w:r>
    </w:p>
    <w:p>
      <w:pPr>
        <w:spacing w:after="0" w:line="173"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common stock will be entitled to receive, ratably, dividends only if, when and as declared by the Company Board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legally available therefor and after provision is made for each class of capital stock having preference over the common stock.</w:t>
      </w:r>
    </w:p>
    <w:p>
      <w:pPr>
        <w:spacing w:after="0" w:line="158" w:lineRule="exact"/>
        <w:rPr>
          <w:sz w:val="20"/>
          <w:szCs w:val="20"/>
          <w:color w:val="auto"/>
        </w:rPr>
      </w:pPr>
    </w:p>
    <w:p>
      <w:pPr>
        <w:jc w:val="both"/>
        <w:ind w:right="20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of the Company’s liquidation, dissolution or winding-up, the holders of common stock will be entitled to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ratably, in all assets remaining available for distribution after payment of all liabilities and after provision is made for each class of capital stock having preference over the common stock.</w:t>
      </w:r>
    </w:p>
    <w:p>
      <w:pPr>
        <w:spacing w:after="0" w:line="173" w:lineRule="exact"/>
        <w:rPr>
          <w:sz w:val="20"/>
          <w:szCs w:val="20"/>
          <w:color w:val="auto"/>
        </w:rPr>
      </w:pPr>
    </w:p>
    <w:p>
      <w:pPr>
        <w:ind w:left="440"/>
        <w:spacing w:after="0"/>
        <w:tabs>
          <w:tab w:leader="none" w:pos="1900" w:val="left"/>
        </w:tabs>
        <w:rPr>
          <w:sz w:val="20"/>
          <w:szCs w:val="20"/>
          <w:color w:val="auto"/>
        </w:rPr>
      </w:pPr>
      <w:r>
        <w:rPr>
          <w:rFonts w:ascii="Times New Roman" w:cs="Times New Roman" w:eastAsia="Times New Roman" w:hAnsi="Times New Roman"/>
          <w:sz w:val="18"/>
          <w:szCs w:val="18"/>
          <w:i w:val="1"/>
          <w:iCs w:val="1"/>
          <w:color w:val="auto"/>
        </w:rPr>
        <w:t>Conversion Right.</w:t>
      </w:r>
      <w:r>
        <w:rPr>
          <w:sz w:val="20"/>
          <w:szCs w:val="20"/>
          <w:color w:val="auto"/>
        </w:rPr>
        <w:tab/>
      </w:r>
      <w:r>
        <w:rPr>
          <w:rFonts w:ascii="Times New Roman" w:cs="Times New Roman" w:eastAsia="Times New Roman" w:hAnsi="Times New Roman"/>
          <w:sz w:val="17"/>
          <w:szCs w:val="17"/>
          <w:color w:val="auto"/>
        </w:rPr>
        <w:t>The holders of common stock will have no conversion rights.</w:t>
      </w:r>
    </w:p>
    <w:p>
      <w:pPr>
        <w:spacing w:after="0" w:line="225" w:lineRule="exact"/>
        <w:rPr>
          <w:sz w:val="20"/>
          <w:szCs w:val="20"/>
          <w:color w:val="auto"/>
        </w:rPr>
      </w:pPr>
    </w:p>
    <w:p>
      <w:pPr>
        <w:ind w:left="440"/>
        <w:spacing w:after="0"/>
        <w:tabs>
          <w:tab w:leader="none" w:pos="2860" w:val="left"/>
        </w:tabs>
        <w:rPr>
          <w:sz w:val="20"/>
          <w:szCs w:val="20"/>
          <w:color w:val="auto"/>
        </w:rPr>
      </w:pPr>
      <w:r>
        <w:rPr>
          <w:rFonts w:ascii="Times New Roman" w:cs="Times New Roman" w:eastAsia="Times New Roman" w:hAnsi="Times New Roman"/>
          <w:sz w:val="18"/>
          <w:szCs w:val="18"/>
          <w:i w:val="1"/>
          <w:iCs w:val="1"/>
          <w:color w:val="auto"/>
        </w:rPr>
        <w:t>Preemptive and Similar Rights.</w:t>
      </w:r>
      <w:r>
        <w:rPr>
          <w:sz w:val="20"/>
          <w:szCs w:val="20"/>
          <w:color w:val="auto"/>
        </w:rPr>
        <w:tab/>
      </w:r>
      <w:r>
        <w:rPr>
          <w:rFonts w:ascii="Times New Roman" w:cs="Times New Roman" w:eastAsia="Times New Roman" w:hAnsi="Times New Roman"/>
          <w:sz w:val="17"/>
          <w:szCs w:val="17"/>
          <w:color w:val="auto"/>
        </w:rPr>
        <w:t>The holders of common stock will have no preemptive or similar rights.</w:t>
      </w:r>
    </w:p>
    <w:p>
      <w:pPr>
        <w:spacing w:after="0" w:line="225" w:lineRule="exact"/>
        <w:rPr>
          <w:sz w:val="20"/>
          <w:szCs w:val="20"/>
          <w:color w:val="auto"/>
        </w:rPr>
      </w:pPr>
    </w:p>
    <w:p>
      <w:pPr>
        <w:ind w:right="1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Redemption/Put Rights. </w:t>
      </w:r>
      <w:r>
        <w:rPr>
          <w:rFonts w:ascii="Times New Roman" w:cs="Times New Roman" w:eastAsia="Times New Roman" w:hAnsi="Times New Roman"/>
          <w:sz w:val="18"/>
          <w:szCs w:val="18"/>
          <w:color w:val="auto"/>
        </w:rPr>
        <w:t>There will be no redemption or sinking fund provisions applicable to the common stock. All of the outstanding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will be fully-paid and nonassessable.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The Company Board will have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792"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Upon completion of the Business Combination, all of the warrants to purchase Bull Horn common stock will pursuant to their terms be automatically adjusted to represent the right to purchase an equal number of shares of Company Common Stock on the same terms and conditions as the original warrants. See the section titled “</w:t>
      </w:r>
      <w:r>
        <w:rPr>
          <w:rFonts w:ascii="Times New Roman" w:cs="Times New Roman" w:eastAsia="Times New Roman" w:hAnsi="Times New Roman"/>
          <w:sz w:val="18"/>
          <w:szCs w:val="18"/>
          <w:i w:val="1"/>
          <w:iCs w:val="1"/>
          <w:color w:val="auto"/>
        </w:rPr>
        <w:t>Description of Coeptis’, Bull Horn’s, and the Company’s Securities — Description of Bull Horn’s Shares Prior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Domestication and Business Combination — Redeemable Warrants” </w:t>
      </w:r>
      <w:r>
        <w:rPr>
          <w:rFonts w:ascii="Times New Roman" w:cs="Times New Roman" w:eastAsia="Times New Roman" w:hAnsi="Times New Roman"/>
          <w:sz w:val="18"/>
          <w:szCs w:val="18"/>
          <w:color w:val="auto"/>
        </w:rPr>
        <w:t>for terms and conditions of the Bull Horn warrants.</w:t>
      </w:r>
    </w:p>
    <w:p>
      <w:pPr>
        <w:spacing w:after="0" w:line="180" w:lineRule="exact"/>
        <w:rPr>
          <w:sz w:val="20"/>
          <w:szCs w:val="20"/>
          <w:color w:val="auto"/>
        </w:rPr>
      </w:pPr>
    </w:p>
    <w:p>
      <w:pPr>
        <w:ind w:right="280" w:firstLine="432"/>
        <w:spacing w:after="0" w:line="268" w:lineRule="auto"/>
        <w:rPr>
          <w:sz w:val="20"/>
          <w:szCs w:val="20"/>
          <w:color w:val="auto"/>
        </w:rPr>
      </w:pPr>
      <w:r>
        <w:rPr>
          <w:rFonts w:ascii="Times New Roman" w:cs="Times New Roman" w:eastAsia="Times New Roman" w:hAnsi="Times New Roman"/>
          <w:sz w:val="17"/>
          <w:szCs w:val="17"/>
          <w:color w:val="auto"/>
        </w:rPr>
        <w:t>Upon completion of the Business Combination, all of the surviving warrants to purchase Coeptis common stock will pursuant to their terms be automatically converted into warrants for shares of Company Common Stock, and shall: (i) have the right to acquire a number of shares of Company Common Stock equal to (as rounded down to the nearest whole number) the product of (A) the number of shares of Coeptis common stock which the warrant had the right to acquire immediately prior to the effective time of the Merger, multiplied by (B) the conversion ratio for shares of Coeptis Stock into the Stockholder Merger Consideration; (ii) have an exercise price equal to (as rounded up to the nearest whole cent) the quotient of (A) the exercise price of the warrant (in U.S. Dollars), divided by (B) the conversion ratio for shares of Coeptis Stock into the Stockholder Merger Consideration; and</w:t>
      </w:r>
    </w:p>
    <w:p>
      <w:pPr>
        <w:spacing w:after="0" w:line="5" w:lineRule="exact"/>
        <w:rPr>
          <w:sz w:val="20"/>
          <w:szCs w:val="20"/>
          <w:color w:val="auto"/>
        </w:rPr>
      </w:pPr>
    </w:p>
    <w:p>
      <w:pPr>
        <w:ind w:right="40" w:firstLine="8"/>
        <w:spacing w:after="0" w:line="260" w:lineRule="auto"/>
        <w:tabs>
          <w:tab w:leader="none" w:pos="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be on the same terms and conditions as the original warrants. See the section titled “</w:t>
      </w:r>
      <w:r>
        <w:rPr>
          <w:rFonts w:ascii="Times New Roman" w:cs="Times New Roman" w:eastAsia="Times New Roman" w:hAnsi="Times New Roman"/>
          <w:sz w:val="18"/>
          <w:szCs w:val="18"/>
          <w:i w:val="1"/>
          <w:iCs w:val="1"/>
          <w:color w:val="auto"/>
        </w:rPr>
        <w:t>Description of Coeptis’, Bull Horn’s, and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 Description of Coeptis’ Securities Prior to the Business Combination — Warrants” </w:t>
      </w:r>
      <w:r>
        <w:rPr>
          <w:rFonts w:ascii="Times New Roman" w:cs="Times New Roman" w:eastAsia="Times New Roman" w:hAnsi="Times New Roman"/>
          <w:sz w:val="18"/>
          <w:szCs w:val="18"/>
          <w:color w:val="auto"/>
        </w:rPr>
        <w:t>for terms and conditions of the warrants.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Certificate of Incorporation, the Bylaws and Certain Provisions of Delaware Law</w:t>
      </w:r>
    </w:p>
    <w:p>
      <w:pPr>
        <w:spacing w:after="0" w:line="22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The Amended and Restated Certificate of Incorporation, the Bylaws and the DGCL contain provisions, which are summarized in the following paragraphs, which are intended to enhance the likelihood of continuity and stability in the composition of the Company Board and to discourage certain types of transactions that may involve an actual or threatened acquisition of the Company. These provisions are intended to avoid costly takeover battles, reduce the Company’s vulnerability to a hostile change of control or other unsolicited acquisition proposal, and enhance the ability of the Company Board to maximize stockholder value in connection with any unsolicited offer to acquire the Company.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common stock. The Amended and Restated Certificate of Incorporation will provide that any action required or permitted to be taken by the Company’s stockholders must be effected at a duly called annual meeting of such stockholders and may not be effected by any consent in writing by such holders unless such action is recommended by all directors of the Company Board then in office, except that holders of one or more series of Preferred Stock, if such series are expressly permitted to do so by the certificate of designation relating to such series, may take any action by written consent if such action permitted to be taken by such holders and the written consent is signed by the holders of outstanding shares of the relevant class or series having not less than the minimum number of votes that would be necessary to authorize or take such action at a meeting. See also “</w:t>
      </w:r>
      <w:r>
        <w:rPr>
          <w:rFonts w:ascii="Times New Roman" w:cs="Times New Roman" w:eastAsia="Times New Roman" w:hAnsi="Times New Roman"/>
          <w:sz w:val="18"/>
          <w:szCs w:val="18"/>
          <w:i w:val="1"/>
          <w:iCs w:val="1"/>
          <w:color w:val="auto"/>
        </w:rPr>
        <w:t>Risk Factors — Risks Related to the Domestication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 Delaware law and the Amended and Restated Certificate of Incorporation and Bylaws will contain certain provisions, including anti-takeover provisions that limit the ability of stockholders to take certain actions and could delay or discourage takeover attempts that stockholders may consider favorable</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Capital Stock</w:t>
      </w:r>
    </w:p>
    <w:p>
      <w:pPr>
        <w:spacing w:after="0" w:line="22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the common stock remains listed on Nasdaq, require stockholder approval of certain issuances equal to or exceeding 20% of the then outstanding voting power or then outstanding number of shares of common stock. Additional shares that may be issued in the future may be used for a variety of corporate purposes, including future public offerings, to raise additional capital or to facilitate acquisitions.</w:t>
      </w:r>
    </w:p>
    <w:p>
      <w:pPr>
        <w:spacing w:after="0" w:line="18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may be to enable the Company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common stock at prices higher than prevailing market prices.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Company is subject to the provisions of Section 203 of the DGCL. In general, Section 203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the following prescribed manner:</w:t>
      </w:r>
    </w:p>
    <w:p>
      <w:pPr>
        <w:spacing w:after="0" w:line="176" w:lineRule="exact"/>
        <w:rPr>
          <w:sz w:val="20"/>
          <w:szCs w:val="20"/>
          <w:color w:val="auto"/>
        </w:rPr>
      </w:pPr>
    </w:p>
    <w:p>
      <w:pPr>
        <w:ind w:left="880" w:right="120" w:hanging="440"/>
        <w:spacing w:after="0" w:line="282" w:lineRule="auto"/>
        <w:tabs>
          <w:tab w:leader="none" w:pos="8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of the transaction,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880" w:right="160" w:hanging="440"/>
        <w:spacing w:after="0" w:line="258" w:lineRule="auto"/>
        <w:tabs>
          <w:tab w:leader="none" w:pos="8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and</w:t>
      </w:r>
    </w:p>
    <w:p>
      <w:pPr>
        <w:spacing w:after="0" w:line="183"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time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7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Generally, for purposes of Section 203,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owned 15% or more of a corporation’s outstanding voting securities.</w:t>
      </w:r>
    </w:p>
    <w:p>
      <w:pPr>
        <w:spacing w:after="0" w:line="176"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Such provisions may encourage companies interested in acquiring the Company to negotiate in advance with the Company Board because the stockholder approval requirement would be avoided if the Company Board approves either the business combination or the transaction that results in the stockholder becoming an interested stockholder. However, such provisions also could discourage attempts that might result in a premium over the market price for the shares held by stockholders. These provisions also may make it more difficult to accomplish transactions that stockholders may otherwise deem to be in their best interests.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Bylaws will provide that at any meeting of the Company Board, a majority of the directors then in office constitutes a quorum for all purposes.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227"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expressly authorizes cumulative voting. The Amended and Restated Certificate of Incorporation does not authorize cumulative voting.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Stockholder Meetings</w:t>
      </w:r>
    </w:p>
    <w:p>
      <w:pPr>
        <w:spacing w:after="0" w:line="227"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Amended and Restated Certificate of Incorporation will provide that special meetings of stockholders may be called only by the Company Board acting pursuant to a resolution approved by the affirmative vote of a majority of the Company Board, subject to the rights, if any, of the holders of any series of preferred stock.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Meetings, Nominations and Proposals</w:t>
      </w:r>
    </w:p>
    <w:p>
      <w:pPr>
        <w:spacing w:after="0" w:line="227"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and the nomination of candidates for election as directors, other than nominations made by or at the direction of the Company Board. For any matter to be “properly brought” before a meeting, a stockholder will have to comply with advance notice requirements and provide the Company with certain information. Generally, to be timely, a stockholder’s notice must be received by the Secretary at the Company’s principal executive offices not less than 90 days nor more than 120 days prior to the one-year anniversary of the date of the preceding annual meeting of stockholders (for the purposes of the first annual meeting of the stockholders of the Company following the adoption of the Bylaws, a stockholder’s notice must be received by the Secretary at the Company’s principal executive offices not later than (i) 90 days prior to the date of the first annual meeting or (ii) less than 10 days following the date the first annual meeting is publicly announced). The Bylaws also specify requirements as to the form and content of a stockholder’s notice. The Bylaws allow the Company Board or a committee of the Company Board to determine whether a nomination or any business proposed to be brought before a special meeting of the stockholders was made in accordance with the Bylaws. These provisions may also defer, delay or discourage a potential acquirer from conducting a solicitation of proxies to elect the acquirer’s own slate of directors or otherwise attempting to influence or obtain control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Provisions</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Amended and Restated Certificate of Incorporation and the Bylaws will provide that the Company Board, by the affirmative vote of a majority of the Company Board, is expressly authorized to make, alter, amend, change, add to, rescind or repeal, in whole or in part, the Bylaws without a stockholder vote in any matter not inconsistent with the laws of the State of Delaware. Any amendment, alteration, rescission or repeal of the Bylaws by the Company’s stockholders requires the affirmative vote of the holders of at least a majority in voting power of all the then outstanding shares of stock entitled to vote thereon, voting together as a single class.</w:t>
      </w:r>
    </w:p>
    <w:p>
      <w:pPr>
        <w:spacing w:after="0" w:line="183"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will provide that it may be amended, altered, changed or repealed in accordance with the DGCL.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Amended and Restated Certificate of Incorporation will provide that, unless the Company consents to the selection of an alternative forum, any</w:t>
      </w:r>
    </w:p>
    <w:p>
      <w:pPr>
        <w:spacing w:after="0" w:line="27" w:lineRule="exact"/>
        <w:rPr>
          <w:sz w:val="20"/>
          <w:szCs w:val="20"/>
          <w:color w:val="auto"/>
        </w:rPr>
      </w:pPr>
    </w:p>
    <w:p>
      <w:pPr>
        <w:ind w:right="100" w:firstLine="8"/>
        <w:spacing w:after="0" w:line="251" w:lineRule="auto"/>
        <w:tabs>
          <w:tab w:leader="none" w:pos="2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the Company, (ii) action asserting a claim of breach of a fiduciary duty owed by any director, officer or other employee of the Company to the Company or the Company’s stockholders, creditors or other constituents, (iii) action asserting a claim against the Company or any director or officer of the Company arising pursuant to, or a claim against the Corporation or any Director or officer of the Corporation with respect to the interpretation or application of any provision of, the DGCL, the Amended and Restated Certificate of Incorporation or the Bylaws or (iv) action asserting a claim against the Company or any director or officer of the Company governed by the internal affairs doctrine will, to the fullest extent permitted by law, be solely and exclusively brought in the Court of Chancery of the State of Delaware or, if such court does not have subject matter jurisdiction thereof, any other court located in the State of Delaware with subject matter jurisdiction. To the fullest extent permitted by law, any person or entity purchasing or otherwise acquiring or holding any interest in shares of capital stock of the Company will be deemed to have notice of and consented to the forum provisions in the Amended and Restated Certificate of Incorporation. However, it is possible that a court could find the Company’s forum selection provisions to be inapplicable or unenforceable.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192"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Amended and Restated Certificate of Incorporation will provide that, unless the Company consents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provided, however, that this provision will not apply to suits brought to enforce any liability or duty created by the Securities Exchange Act of 1934, as amended, or any other claim for which the federal courts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i w:val="1"/>
          <w:iCs w:val="1"/>
          <w:color w:val="auto"/>
        </w:rPr>
        <w:t>Limitations on Liability and Indemnification of Officers and Directors</w:t>
      </w:r>
    </w:p>
    <w:p>
      <w:pPr>
        <w:spacing w:after="0" w:line="227"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The Amended and Restated Certificate of Incorporation includes a provision that eliminates the personal liability of directors for monetary damages for any breach of fiduciary duty as a director, except for liability (i) for any breach of the director’s duty of loyalty to the Company or its stockholders, (ii) for acts or omissions not in good faith or which involve intentional misconduct or a knowing violation of law, (iii) under Section 174 of the DGCL or (iv) for any transaction from which the director derived an improper personal benefit. The effect of these provisions is to eliminate the rights of the Company and its stockholders, through stockholders’ derivative suits on the Company’s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8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w:t>
      </w:r>
    </w:p>
    <w:p>
      <w:pPr>
        <w:spacing w:after="0" w:line="180"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the Amended and Restated Certificate of Incorporation and the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 The Company believes that these provisions, liability insurance and the indemnity agreements are necessary to attract and retain talented and experienced directors and officers.</w:t>
      </w:r>
    </w:p>
    <w:p>
      <w:pPr>
        <w:spacing w:after="0" w:line="187"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ind w:right="780" w:firstLine="432"/>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the Bull Horn’s or Coeptis’ respective directors, officers or employees for which indemnification is sought.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Transfer Agent and registrar for the shares of Company Common Stock will be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applied to list its common stock and warrants on Nasdaq under the symbol “COEP” and “COEPW,”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6" w:name="page137"/>
    <w:bookmarkEnd w:id="1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PRICE AND DIVIDENDS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Coeptis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of Coeptis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Coeptis’ common stock is quoted on the OTC Pink under the symbol “COEP.” Coeptis’ common stock commenced public quoting on February 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7"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closing price of Coeptis’ common stock on April 14, 2022, the last trading day before announcement of the execution of the Merger Agreement, was $3.95. As of September 28, 2022, the closing price for the common stock of Coeptis was $2.02.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Coeptis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16, 2022, there were approximately 470 holders of record of Coeptis common stock and one (1) holder of Coeptis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Coeptis’ Board of Directors has made no equity awards and no such award is pending.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Coeptis currently has no employee incentive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of the Company Following the Business Combination</w:t>
      </w:r>
    </w:p>
    <w:p>
      <w:pPr>
        <w:spacing w:after="0" w:line="227"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color w:val="auto"/>
        </w:rPr>
        <w:t>Please refer to the section of this proxy statement entitled “</w:t>
      </w:r>
      <w:r>
        <w:rPr>
          <w:rFonts w:ascii="Times New Roman" w:cs="Times New Roman" w:eastAsia="Times New Roman" w:hAnsi="Times New Roman"/>
          <w:sz w:val="18"/>
          <w:szCs w:val="18"/>
          <w:i w:val="1"/>
          <w:iCs w:val="1"/>
          <w:color w:val="auto"/>
        </w:rPr>
        <w:t>Description of Coeptis’, Bull Horn’s, and the Company’s Securities — Capital Stock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after the Business Combination — Authorized and Outstanding Stock — Common Stock — Dividends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of Bull Horn Units, Ordinary Shares and Warrants</w:t>
      </w:r>
    </w:p>
    <w:p>
      <w:pPr>
        <w:spacing w:after="0" w:line="229" w:lineRule="exact"/>
        <w:rPr>
          <w:sz w:val="20"/>
          <w:szCs w:val="20"/>
          <w:color w:val="auto"/>
        </w:rPr>
      </w:pPr>
    </w:p>
    <w:p>
      <w:pPr>
        <w:jc w:val="both"/>
        <w:ind w:right="400" w:firstLine="432"/>
        <w:spacing w:after="0" w:line="312" w:lineRule="auto"/>
        <w:rPr>
          <w:sz w:val="20"/>
          <w:szCs w:val="20"/>
          <w:color w:val="auto"/>
        </w:rPr>
      </w:pPr>
      <w:r>
        <w:rPr>
          <w:rFonts w:ascii="Times New Roman" w:cs="Times New Roman" w:eastAsia="Times New Roman" w:hAnsi="Times New Roman"/>
          <w:sz w:val="17"/>
          <w:szCs w:val="17"/>
          <w:color w:val="auto"/>
        </w:rPr>
        <w:t>Bull Horn’s Units, ordinary shares and warrants are traded on Nasdaq under the symbols “BHSEU,” “BHSE” and “BHSEW,” respectively. Bull Horn’s Units commenced public trading on October 30, 2020, and its ordinary shares and warrants commenced public trading on December 17, 2020.</w:t>
      </w:r>
    </w:p>
    <w:p>
      <w:pPr>
        <w:spacing w:after="0" w:line="140"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closing price of Bull Horn’s Units, ordinary shares and warrants on April 14, 2022, the last trading day before announcement of the execution of the Merger Agreement, was $10.22, $10.09 and $0.0999, respectively. As of September 28, 2022, the closing price for each Unit, ordinary share and warrant of Bull Horn were $10.19, $10.17 and $0.033, respectively.</w:t>
      </w:r>
    </w:p>
    <w:p>
      <w:pPr>
        <w:spacing w:after="0" w:line="176"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Holders of Bull Horn’s Units, ordinary shares and warrants should obtain current market quotations for their securities. The market price of Bull Horn’s securities could vary at any time before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Bull Horn Securities</w:t>
      </w:r>
    </w:p>
    <w:p>
      <w:pPr>
        <w:spacing w:after="0" w:line="229"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As of September 1, 2022, there was 1 holder of record of Bull Horn’s Units, 2 holders of record of Bull Horn’s ordinary shares, and 5 holders of record of Bull Horn’s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of Bull Horn Securities</w:t>
      </w:r>
    </w:p>
    <w:p>
      <w:pPr>
        <w:spacing w:after="0" w:line="227" w:lineRule="exact"/>
        <w:rPr>
          <w:sz w:val="20"/>
          <w:szCs w:val="20"/>
          <w:color w:val="auto"/>
        </w:rPr>
      </w:pPr>
    </w:p>
    <w:p>
      <w:pPr>
        <w:ind w:right="40" w:firstLine="432"/>
        <w:spacing w:after="0" w:line="284" w:lineRule="auto"/>
        <w:rPr>
          <w:sz w:val="20"/>
          <w:szCs w:val="20"/>
          <w:color w:val="auto"/>
        </w:rPr>
      </w:pPr>
      <w:r>
        <w:rPr>
          <w:rFonts w:ascii="Times New Roman" w:cs="Times New Roman" w:eastAsia="Times New Roman" w:hAnsi="Times New Roman"/>
          <w:sz w:val="18"/>
          <w:szCs w:val="18"/>
          <w:color w:val="auto"/>
        </w:rPr>
        <w:t>Please refer to the section of this proxy statement entitled “</w:t>
      </w:r>
      <w:r>
        <w:rPr>
          <w:rFonts w:ascii="Times New Roman" w:cs="Times New Roman" w:eastAsia="Times New Roman" w:hAnsi="Times New Roman"/>
          <w:sz w:val="18"/>
          <w:szCs w:val="18"/>
          <w:i w:val="1"/>
          <w:iCs w:val="1"/>
          <w:color w:val="auto"/>
        </w:rPr>
        <w:t>Description of Coeptis’, Bull Horn’s, and the Company’s Securities — Description of Bull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Horn’s Shares Prior to the Domestication and the Business Combination — Dividends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37" w:name="page138"/>
    <w:bookmarkEnd w:id="1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(i) the beneficial ownership of Bull Horn ordinary shares as of September 1, 2022 and (ii) the expected beneficial ownership of shares of Company Common Stock immediately following the consummation of the Business Combination (assuming a “no redemption” scenario and alternatively assuming a “maximum redemption” scenario as described herein) by:</w:t>
      </w:r>
    </w:p>
    <w:p>
      <w:pPr>
        <w:spacing w:after="0" w:line="176" w:lineRule="exact"/>
        <w:rPr>
          <w:sz w:val="20"/>
          <w:szCs w:val="20"/>
          <w:color w:val="auto"/>
        </w:rPr>
      </w:pPr>
    </w:p>
    <w:p>
      <w:pPr>
        <w:ind w:left="880" w:right="100" w:hanging="440"/>
        <w:spacing w:after="0" w:line="282" w:lineRule="auto"/>
        <w:tabs>
          <w:tab w:leader="none" w:pos="8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Bull Horn ordinary shares and is expected to be the beneficial owner of more than 5% of shares of the Company Common Stock post-Business Combination;</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Bull Horn’s current executive officers and directors;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expected to become an executive officer or director of the Company post-Business Combination; and</w:t>
      </w:r>
    </w:p>
    <w:p>
      <w:pPr>
        <w:spacing w:after="0" w:line="225"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Bull Horn as a group pre-Business Combination, and all executive officers and directors of the Company post-Business Combination.</w:t>
      </w:r>
    </w:p>
    <w:p>
      <w:pPr>
        <w:spacing w:after="0" w:line="162"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76"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beneficial ownership of Company Common Stock post-Business Combination is based on Coeptis common stock pre-Business Combination as of the Record Date in the amount of 51,207,163, which includes 43,207,163 issued shares and 8,000,000 unissued shares that underlie 8,000 issued shares of Series B Convertible Preferred Stock convertible within 60 days of the date of this proxy statement.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expected beneficial ownership of shares of Company Common Stock post-Business Combination assumes two scenarios:</w:t>
      </w:r>
    </w:p>
    <w:p>
      <w:pPr>
        <w:spacing w:after="0" w:line="225" w:lineRule="exact"/>
        <w:rPr>
          <w:sz w:val="20"/>
          <w:szCs w:val="20"/>
          <w:color w:val="auto"/>
        </w:rPr>
      </w:pPr>
    </w:p>
    <w:p>
      <w:pPr>
        <w:ind w:left="880" w:right="220" w:hanging="440"/>
        <w:spacing w:after="0" w:line="312" w:lineRule="auto"/>
        <w:tabs>
          <w:tab w:leader="none" w:pos="843"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 Redemptions” scenario where (i) no public shareholders exercise their redemption rights in connection with the Business Combination and (ii) Bull Horn issues 17,123,288 shares of its common stock as the Merger Consideration pursuant to the Merger Agreement; and</w:t>
      </w:r>
    </w:p>
    <w:p>
      <w:pPr>
        <w:spacing w:after="0" w:line="139" w:lineRule="exact"/>
        <w:rPr>
          <w:rFonts w:ascii="Times New Roman" w:cs="Times New Roman" w:eastAsia="Times New Roman" w:hAnsi="Times New Roman"/>
          <w:sz w:val="17"/>
          <w:szCs w:val="17"/>
          <w:color w:val="auto"/>
        </w:rPr>
      </w:pPr>
    </w:p>
    <w:p>
      <w:pPr>
        <w:ind w:left="880" w:right="80" w:hanging="440"/>
        <w:spacing w:after="0" w:line="312" w:lineRule="auto"/>
        <w:tabs>
          <w:tab w:leader="none" w:pos="848"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“Max Redemptions” scenario where (i) 2,598,025 of Bull Horn’s outstanding public shares are redeemed in connection with the Business Combination and (ii) Bull Horn issues 17,123,288 shares of its common stock as the Merger Consideration pursuant to the Merger Agreement.</w:t>
      </w:r>
    </w:p>
    <w:p>
      <w:pPr>
        <w:spacing w:after="0" w:line="140"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Based on the foregoing assumptions, we estimate that there would be 22,239,702 shares of the Company Common Stock issued and outstanding immediately following the consummation of the Business Combination in the “no redemption” scenario, and 19,641,677 shares of the Company Common Stock issued and outstanding immediately following the consummation of the Business Combination in the “maximum redemption” scenario. If the actual facts are different from the foregoing assumptions, ownership figures in the combined company and the columns under Post-Business Combination in the table that follows will be different.</w:t>
      </w:r>
    </w:p>
    <w:p>
      <w:pPr>
        <w:spacing w:after="0" w:line="183"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does not reflect record of beneficial ownership of any shares of common stock issuable upon the exercise of public warrants or Private Placement Warrants, as such securities may not be exercisable or convertible within 60 days of the Record Date.</w:t>
      </w:r>
    </w:p>
    <w:p>
      <w:pPr>
        <w:spacing w:after="0" w:line="16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Unless otherwise indicated and subject to applicable community property and similar laws, Coeptis believes that all persons named in the table below have sole voting and investment power with respect to the voting securities beneficially owned by them.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Prior to the Business</w:t>
            </w:r>
          </w:p>
        </w:tc>
        <w:tc>
          <w:tcPr>
            <w:tcW w:w="246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222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204"/>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Borders>
              <w:bottom w:val="single" w:sz="8" w:color="auto"/>
            </w:tcBorders>
            <w:gridSpan w:val="3"/>
          </w:tcPr>
          <w:p>
            <w:pPr>
              <w:jc w:val="right"/>
              <w:ind w:right="528"/>
              <w:spacing w:after="0" w:line="203" w:lineRule="exact"/>
              <w:rPr>
                <w:sz w:val="20"/>
                <w:szCs w:val="20"/>
                <w:color w:val="auto"/>
              </w:rPr>
            </w:pP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23"/>
                <w:szCs w:val="23"/>
                <w:b w:val="1"/>
                <w:bCs w:val="1"/>
                <w:color w:val="auto"/>
                <w:vertAlign w:val="superscript"/>
              </w:rPr>
              <w:t>(2)</w:t>
            </w:r>
          </w:p>
        </w:tc>
        <w:tc>
          <w:tcPr>
            <w:tcW w:w="360" w:type="dxa"/>
            <w:vAlign w:val="bottom"/>
          </w:tcPr>
          <w:p>
            <w:pPr>
              <w:spacing w:after="0"/>
              <w:rPr>
                <w:sz w:val="17"/>
                <w:szCs w:val="17"/>
                <w:color w:val="auto"/>
              </w:rPr>
            </w:pPr>
          </w:p>
        </w:tc>
        <w:tc>
          <w:tcPr>
            <w:tcW w:w="2240" w:type="dxa"/>
            <w:vAlign w:val="bottom"/>
            <w:tcBorders>
              <w:bottom w:val="single" w:sz="8" w:color="auto"/>
            </w:tcBorders>
            <w:gridSpan w:val="3"/>
          </w:tcPr>
          <w:p>
            <w:pPr>
              <w:jc w:val="right"/>
              <w:ind w:right="568"/>
              <w:spacing w:after="0" w:line="203" w:lineRule="exact"/>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23"/>
                <w:szCs w:val="23"/>
                <w:b w:val="1"/>
                <w:bCs w:val="1"/>
                <w:color w:val="auto"/>
                <w:vertAlign w:val="superscript"/>
              </w:rPr>
              <w:t>(5)</w:t>
            </w:r>
          </w:p>
        </w:tc>
        <w:tc>
          <w:tcPr>
            <w:tcW w:w="220" w:type="dxa"/>
            <w:vAlign w:val="bottom"/>
          </w:tcPr>
          <w:p>
            <w:pPr>
              <w:spacing w:after="0"/>
              <w:rPr>
                <w:sz w:val="17"/>
                <w:szCs w:val="17"/>
                <w:color w:val="auto"/>
              </w:rPr>
            </w:pPr>
          </w:p>
        </w:tc>
        <w:tc>
          <w:tcPr>
            <w:tcW w:w="2220" w:type="dxa"/>
            <w:vAlign w:val="bottom"/>
            <w:tcBorders>
              <w:bottom w:val="single" w:sz="8" w:color="auto"/>
            </w:tcBorders>
            <w:gridSpan w:val="3"/>
          </w:tcPr>
          <w:p>
            <w:pPr>
              <w:jc w:val="right"/>
              <w:ind w:right="568"/>
              <w:spacing w:after="0" w:line="203" w:lineRule="exact"/>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23"/>
                <w:szCs w:val="23"/>
                <w:b w:val="1"/>
                <w:bCs w:val="1"/>
                <w:color w:val="auto"/>
                <w:vertAlign w:val="superscript"/>
              </w:rPr>
              <w:t>(6)</w:t>
            </w:r>
          </w:p>
        </w:tc>
        <w:tc>
          <w:tcPr>
            <w:tcW w:w="0" w:type="dxa"/>
            <w:vAlign w:val="bottom"/>
          </w:tcPr>
          <w:p>
            <w:pPr>
              <w:spacing w:after="0"/>
              <w:rPr>
                <w:sz w:val="1"/>
                <w:szCs w:val="1"/>
                <w:color w:val="auto"/>
              </w:rPr>
            </w:pPr>
          </w:p>
        </w:tc>
      </w:tr>
      <w:tr>
        <w:trPr>
          <w:trHeight w:val="117"/>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r>
              <w:rPr>
                <w:rFonts w:ascii="Times New Roman" w:cs="Times New Roman" w:eastAsia="Times New Roman" w:hAnsi="Times New Roman"/>
                <w:sz w:val="23"/>
                <w:szCs w:val="23"/>
                <w:b w:val="1"/>
                <w:bCs w:val="1"/>
                <w:color w:val="auto"/>
                <w:vertAlign w:val="superscript"/>
              </w:rPr>
              <w:t>(1)</w:t>
            </w:r>
          </w:p>
        </w:tc>
        <w:tc>
          <w:tcPr>
            <w:tcW w:w="12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2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4060" w:type="dxa"/>
            <w:vAlign w:val="bottom"/>
            <w:gridSpan w:val="2"/>
            <w:vMerge w:val="continue"/>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40" w:type="dxa"/>
            <w:vAlign w:val="bottom"/>
            <w:gridSpan w:val="2"/>
            <w:vMerge w:val="continue"/>
          </w:tcPr>
          <w:p>
            <w:pPr>
              <w:spacing w:after="0"/>
              <w:rPr>
                <w:sz w:val="15"/>
                <w:szCs w:val="15"/>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2"/>
            <w:vMerge w:val="continue"/>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Officers and Directors Prior to the Transactions:</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Robert Striar</w:t>
            </w:r>
            <w:r>
              <w:rPr>
                <w:rFonts w:ascii="Times New Roman" w:cs="Times New Roman" w:eastAsia="Times New Roman" w:hAnsi="Times New Roman"/>
                <w:sz w:val="21"/>
                <w:szCs w:val="21"/>
                <w:color w:val="auto"/>
                <w:vertAlign w:val="superscript"/>
              </w:rPr>
              <w:t>(3)</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1,875,000</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36.6%</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1,875,000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22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1,875,000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Christopher Calise</w:t>
            </w:r>
            <w:r>
              <w:rPr>
                <w:rFonts w:ascii="Times New Roman" w:cs="Times New Roman" w:eastAsia="Times New Roman" w:hAnsi="Times New Roman"/>
                <w:sz w:val="21"/>
                <w:szCs w:val="21"/>
                <w:color w:val="auto"/>
                <w:vertAlign w:val="superscript"/>
              </w:rPr>
              <w:t>(3)</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1,875,000</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36.6%</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1,875,000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1,875,000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Stephen Master</w:t>
            </w:r>
            <w:r>
              <w:rPr>
                <w:rFonts w:ascii="Times New Roman" w:cs="Times New Roman" w:eastAsia="Times New Roman" w:hAnsi="Times New Roman"/>
                <w:sz w:val="21"/>
                <w:szCs w:val="21"/>
                <w:color w:val="auto"/>
                <w:vertAlign w:val="superscript"/>
              </w:rPr>
              <w:t>(4)</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Michael Gandler</w:t>
            </w:r>
            <w:r>
              <w:rPr>
                <w:rFonts w:ascii="Times New Roman" w:cs="Times New Roman" w:eastAsia="Times New Roman" w:hAnsi="Times New Roman"/>
                <w:sz w:val="21"/>
                <w:szCs w:val="21"/>
                <w:color w:val="auto"/>
                <w:vertAlign w:val="superscript"/>
              </w:rPr>
              <w:t>(4)</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Jeff Wattenberg</w:t>
            </w:r>
            <w:r>
              <w:rPr>
                <w:rFonts w:ascii="Times New Roman" w:cs="Times New Roman" w:eastAsia="Times New Roman" w:hAnsi="Times New Roman"/>
                <w:sz w:val="21"/>
                <w:szCs w:val="21"/>
                <w:color w:val="auto"/>
                <w:vertAlign w:val="superscript"/>
              </w:rPr>
              <w:t>(4)</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Doug Schaer</w:t>
            </w:r>
            <w:r>
              <w:rPr>
                <w:rFonts w:ascii="Times New Roman" w:cs="Times New Roman" w:eastAsia="Times New Roman" w:hAnsi="Times New Roman"/>
                <w:sz w:val="21"/>
                <w:szCs w:val="21"/>
                <w:color w:val="auto"/>
                <w:vertAlign w:val="superscript"/>
              </w:rPr>
              <w:t>(4)</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Barron Davis</w:t>
            </w:r>
            <w:r>
              <w:rPr>
                <w:rFonts w:ascii="Times New Roman" w:cs="Times New Roman" w:eastAsia="Times New Roman" w:hAnsi="Times New Roman"/>
                <w:sz w:val="21"/>
                <w:szCs w:val="21"/>
                <w:color w:val="auto"/>
                <w:vertAlign w:val="superscript"/>
              </w:rPr>
              <w:t>(4)</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All Such Directors and Officers as a group (7 Individuals)</w:t>
            </w:r>
          </w:p>
        </w:tc>
        <w:tc>
          <w:tcPr>
            <w:tcW w:w="12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2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Officers and Directors After the Transactions:</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David Mehalick</w:t>
            </w:r>
            <w:r>
              <w:rPr>
                <w:rFonts w:ascii="Times New Roman" w:cs="Times New Roman" w:eastAsia="Times New Roman" w:hAnsi="Times New Roman"/>
                <w:sz w:val="21"/>
                <w:szCs w:val="21"/>
                <w:color w:val="auto"/>
                <w:vertAlign w:val="superscript"/>
              </w:rPr>
              <w:t>(7)</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3,277,592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3,277,592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Daniel Yerace</w:t>
            </w:r>
            <w:r>
              <w:rPr>
                <w:rFonts w:ascii="Times New Roman" w:cs="Times New Roman" w:eastAsia="Times New Roman" w:hAnsi="Times New Roman"/>
                <w:sz w:val="21"/>
                <w:szCs w:val="21"/>
                <w:color w:val="auto"/>
                <w:vertAlign w:val="superscript"/>
              </w:rPr>
              <w:t>(7)</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1,003,344</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22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1,003,344</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Christopher Calise</w:t>
            </w:r>
            <w:r>
              <w:rPr>
                <w:rFonts w:ascii="Times New Roman" w:cs="Times New Roman" w:eastAsia="Times New Roman" w:hAnsi="Times New Roman"/>
                <w:sz w:val="21"/>
                <w:szCs w:val="21"/>
                <w:color w:val="auto"/>
                <w:vertAlign w:val="superscript"/>
              </w:rPr>
              <w:t>(3)</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1,875,000</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36.6%</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1,875,000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1,875,000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Tara Maria DeSilva</w:t>
            </w:r>
            <w:r>
              <w:rPr>
                <w:rFonts w:ascii="Times New Roman" w:cs="Times New Roman" w:eastAsia="Times New Roman" w:hAnsi="Times New Roman"/>
                <w:sz w:val="21"/>
                <w:szCs w:val="21"/>
                <w:color w:val="auto"/>
                <w:vertAlign w:val="superscript"/>
              </w:rPr>
              <w:t>(7)</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Philippe Deschamps</w:t>
            </w:r>
            <w:r>
              <w:rPr>
                <w:rFonts w:ascii="Times New Roman" w:cs="Times New Roman" w:eastAsia="Times New Roman" w:hAnsi="Times New Roman"/>
                <w:sz w:val="21"/>
                <w:szCs w:val="21"/>
                <w:color w:val="auto"/>
                <w:vertAlign w:val="superscript"/>
              </w:rPr>
              <w:t>(7)</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Christopher Cochran</w:t>
            </w:r>
            <w:r>
              <w:rPr>
                <w:rFonts w:ascii="Times New Roman" w:cs="Times New Roman" w:eastAsia="Times New Roman" w:hAnsi="Times New Roman"/>
                <w:sz w:val="21"/>
                <w:szCs w:val="21"/>
                <w:color w:val="auto"/>
                <w:vertAlign w:val="superscript"/>
              </w:rPr>
              <w:t>(7)</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Gene Salkind</w:t>
            </w:r>
            <w:r>
              <w:rPr>
                <w:rFonts w:ascii="Times New Roman" w:cs="Times New Roman" w:eastAsia="Times New Roman" w:hAnsi="Times New Roman"/>
                <w:sz w:val="21"/>
                <w:szCs w:val="21"/>
                <w:color w:val="auto"/>
                <w:vertAlign w:val="superscript"/>
              </w:rPr>
              <w:t>(7)</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Christine Sheehy</w:t>
            </w:r>
          </w:p>
        </w:tc>
        <w:tc>
          <w:tcPr>
            <w:tcW w:w="12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__</w:t>
            </w:r>
          </w:p>
        </w:tc>
        <w:tc>
          <w:tcPr>
            <w:tcW w:w="12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1,003,344</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2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1,003,344</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5.11 %</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All Such Directors and Officers as a group (8 individuals)</w:t>
            </w:r>
          </w:p>
        </w:tc>
        <w:tc>
          <w:tcPr>
            <w:tcW w:w="12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2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7,159,280</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32.19%</w:t>
            </w:r>
          </w:p>
        </w:tc>
        <w:tc>
          <w:tcPr>
            <w:tcW w:w="2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7,159,280</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36.45%</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Greater than 5% Holders:</w:t>
            </w: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Lisa Pharma LLC</w:t>
            </w:r>
            <w:r>
              <w:rPr>
                <w:rFonts w:ascii="Times New Roman" w:cs="Times New Roman" w:eastAsia="Times New Roman" w:hAnsi="Times New Roman"/>
                <w:sz w:val="21"/>
                <w:szCs w:val="21"/>
                <w:color w:val="auto"/>
                <w:vertAlign w:val="superscript"/>
              </w:rPr>
              <w:t>(7)(8)</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1,421,405</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22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1,421,405</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Lena Pharma LLC</w:t>
            </w:r>
            <w:r>
              <w:rPr>
                <w:rFonts w:ascii="Times New Roman" w:cs="Times New Roman" w:eastAsia="Times New Roman" w:hAnsi="Times New Roman"/>
                <w:sz w:val="21"/>
                <w:szCs w:val="21"/>
                <w:color w:val="auto"/>
                <w:vertAlign w:val="superscript"/>
              </w:rPr>
              <w:t>(7)(9)</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1,421,405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1,421,405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245"/>
        </w:trPr>
        <w:tc>
          <w:tcPr>
            <w:tcW w:w="382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_____________</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60" w:hanging="352"/>
        <w:spacing w:after="0"/>
        <w:tabs>
          <w:tab w:leader="none" w:pos="3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7" w:lineRule="exact"/>
        <w:rPr>
          <w:sz w:val="20"/>
          <w:szCs w:val="20"/>
          <w:color w:val="auto"/>
        </w:rPr>
      </w:pPr>
    </w:p>
    <w:p>
      <w:pPr>
        <w:ind w:left="360" w:hanging="352"/>
        <w:spacing w:after="0" w:line="250" w:lineRule="auto"/>
        <w:tabs>
          <w:tab w:leader="none" w:pos="3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c/o Bull Horn Holdings Corp., 801 S. Pointe Drive, Suite TH-1, Miami Beach, Florida 33139.</w:t>
      </w:r>
    </w:p>
    <w:p>
      <w:pPr>
        <w:jc w:val="both"/>
        <w:ind w:left="360" w:hanging="352"/>
        <w:spacing w:after="0" w:line="250" w:lineRule="auto"/>
        <w:tabs>
          <w:tab w:leader="none" w:pos="3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pre-Business Combination percentage of beneficial ownership in the table above is calculated based on 5,116,414 Bull Horn ordinary shares outstanding as of the Record Date. The amount of beneficial ownership does not reflect the ordinary shares issuable as a result of warrants as such securities may not be exercisable within 60 days.</w:t>
      </w:r>
    </w:p>
    <w:p>
      <w:pPr>
        <w:spacing w:after="0" w:line="1" w:lineRule="exact"/>
        <w:rPr>
          <w:rFonts w:ascii="Times New Roman" w:cs="Times New Roman" w:eastAsia="Times New Roman" w:hAnsi="Times New Roman"/>
          <w:sz w:val="18"/>
          <w:szCs w:val="18"/>
          <w:color w:val="auto"/>
        </w:rPr>
      </w:pPr>
    </w:p>
    <w:p>
      <w:pPr>
        <w:jc w:val="both"/>
        <w:ind w:left="360" w:hanging="352"/>
        <w:spacing w:after="0" w:line="250" w:lineRule="auto"/>
        <w:tabs>
          <w:tab w:leader="none" w:pos="3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the sponsor. The shares held by our sponsor are beneficially owned by Robert Striar, Bull Horn’s Chief Executive Officer, and Christopher Calise, Bull Horn’s Chief Financial Officer, who, as managing members of the sponsor, have voting and dispositive power over the shares held by the sponsor. Each of Mr. Striar and Mr. Calise disclaims any beneficial ownership of the reported shares other than to the extent of any pecuniary interest he may have therein.</w:t>
      </w:r>
    </w:p>
    <w:p>
      <w:pPr>
        <w:spacing w:after="0" w:line="1" w:lineRule="exact"/>
        <w:rPr>
          <w:rFonts w:ascii="Times New Roman" w:cs="Times New Roman" w:eastAsia="Times New Roman" w:hAnsi="Times New Roman"/>
          <w:sz w:val="18"/>
          <w:szCs w:val="18"/>
          <w:color w:val="auto"/>
        </w:rPr>
      </w:pPr>
    </w:p>
    <w:p>
      <w:pPr>
        <w:ind w:left="360" w:hanging="352"/>
        <w:spacing w:after="0" w:line="250" w:lineRule="auto"/>
        <w:tabs>
          <w:tab w:leader="none" w:pos="3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individual does not beneficially own any of our ordinary shares. However, such individual has a pecuniary interest in our ordinary shares through his ownership of membership interests of the sponsor.</w:t>
      </w:r>
    </w:p>
    <w:p>
      <w:pPr>
        <w:jc w:val="both"/>
        <w:ind w:left="360" w:hanging="352"/>
        <w:spacing w:after="0" w:line="250" w:lineRule="auto"/>
        <w:tabs>
          <w:tab w:leader="none" w:pos="3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 Redemptions” scenario, the post-Business Combination percentage of beneficial ownership is calculated based on 22,239,702 shares of common stock outstanding immediately after the consummation of the Business Combination. The number of shares of common stock assumes that no public shareholders properly elect to redeem their shares for cash.</w:t>
      </w:r>
    </w:p>
    <w:p>
      <w:pPr>
        <w:spacing w:after="0" w:line="1" w:lineRule="exact"/>
        <w:rPr>
          <w:rFonts w:ascii="Times New Roman" w:cs="Times New Roman" w:eastAsia="Times New Roman" w:hAnsi="Times New Roman"/>
          <w:sz w:val="18"/>
          <w:szCs w:val="18"/>
          <w:color w:val="auto"/>
        </w:rPr>
      </w:pPr>
    </w:p>
    <w:p>
      <w:pPr>
        <w:jc w:val="both"/>
        <w:ind w:left="360" w:hanging="352"/>
        <w:spacing w:after="0" w:line="250" w:lineRule="auto"/>
        <w:tabs>
          <w:tab w:leader="none" w:pos="3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“Maximum Redemptions” scenario, the post-Business Combination percentage of beneficial ownership is calculated based on 19,641,677 shares of common stock outstanding immediately after the consummation of the Business Combination. The number of shares of common stock assumes that 2,598,025 public shares are redeemed for cash.</w:t>
      </w:r>
    </w:p>
    <w:p>
      <w:pPr>
        <w:spacing w:after="0" w:line="1" w:lineRule="exact"/>
        <w:rPr>
          <w:rFonts w:ascii="Times New Roman" w:cs="Times New Roman" w:eastAsia="Times New Roman" w:hAnsi="Times New Roman"/>
          <w:sz w:val="18"/>
          <w:szCs w:val="18"/>
          <w:color w:val="auto"/>
        </w:rPr>
      </w:pPr>
    </w:p>
    <w:p>
      <w:pPr>
        <w:ind w:left="360" w:hanging="352"/>
        <w:spacing w:after="0" w:line="250" w:lineRule="auto"/>
        <w:tabs>
          <w:tab w:leader="none" w:pos="3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c/o Coeptis Therapeutics, Inc., 105 Bradford Rd, Suite 420, Wexford, PA 15090.</w:t>
      </w:r>
    </w:p>
    <w:p>
      <w:pPr>
        <w:ind w:left="360" w:hanging="352"/>
        <w:spacing w:after="0"/>
        <w:tabs>
          <w:tab w:leader="none" w:pos="3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Lisa Kuchera is the manager of this entity and possesses voting control over securities owned by it.</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Lena Kuchera is the manager of this entity and possesses voting control over securities owned by it.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39" w:name="page140"/>
    <w:bookmarkEnd w:id="139"/>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Coeptis 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Pre-2021 Merger Divestiture</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Prior to the closing of the 2021 Merger, Coeptis had a 100% ownership interest in NDYN Delaware, Inc. In December 2020, prior to the Closing of the 2021 Merger, Coeptis divested its 100% ownership interest NDYN Delaware, LLC to Sterling Acquisition I, LLC, an entity controlled by Coeptis’ pre-Merger board member Erik Nelson. The divestiture was accomplished through the sale of all of Coeptis’ share ownership of NDYN Delaware, Inc. pursuant to a Divestiture Agreement, a copy of which is attached as Exhibit 10.1 to Coeptis’ Current Report on Form 8-K that was filed on December 31,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Pre-Merger Series B Convertible Preferred Stock and Common Stock</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On February 12, 2021, (i) David Mehalick purchased 8,000 shares of Series B Preferred Stock from Coral Investment Partners, LP for an aggregate purchase price of $1,000 and (ii) we repurchased 328,000 shares of Coeptis’ common stock from Coral Partners, LP for an aggregate purchase price of $247,164.95 and retired such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Bylaws will provide that the Company will indemnify its directors and officers to the fullest extent authorized by the DGCL. In addition, the Amended and Restated Certificate of Incorporation of the Company will provide that the directors will not be personally liable for monetary damages for breach of fiduciary duty except for liability (i) for any breach of the director’s duty of loyalty to the Company or its stockholders, (ii) for acts or omissions not in good faith or which involve intentional misconduct or a knowing violation of law, (iii) under Section 174 of the DGCL or (iv) for any transaction from which the director derived an improper personal benefit. There is no pending litigation or proceeding naming any of Bull Horn’s or Coeptis’ respective directors or officers to which indemnification is being sought, and neither Bull Horn nor Coeptis is aware of any pending or threatened litigation that may result in claims for indemnification by any director or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Bull Horn Related Person Transactions</w:t>
      </w:r>
    </w:p>
    <w:p>
      <w:pPr>
        <w:spacing w:after="0" w:line="229"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In November 2018, in anticipation of the expected issuance of 2,156,250 founder shares to our sponsor, our sponsor paid certain of Bull Horn’s deferred offering costs with the $25,000 purchase price of the founder shares. As of December 31, 2018, one founder share was issued to our sponsor. The remaining 2,156,249 founder shares were issued to our sponsor on January 28, 2019.</w:t>
      </w:r>
    </w:p>
    <w:p>
      <w:pPr>
        <w:spacing w:after="0" w:line="176"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On December 10, 2020, the underwriters notified Bull Horn that they would not be exercising the over-allotment option and as a result, our sponsor returned 281,250 ordinary shares to Bull Horn for no consideration and such ordinary shares were canceled. Also effective December 10, 2020, by agreement between our sponsor and the underwriters, an aggregate of 375,000 Private Placement Warrants were assigned by the underwriters to our sponsor.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140" w:name="page141"/>
    <w:bookmarkEnd w:id="140"/>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Other than the foregoing, no compensation of any kind, including any finder’s fee, reimbursement, consulting fee or monies in respect of any payment of a loan, has been or will be paid by Bull Horn to our sponsor, officers and directors, or any affiliate of our sponsor or officers, prior to, or in connection with any services rendered in order to effectuate, the consummation of an initial business combination (regardless of the type of transaction that it is). However, these individuals will be reimbursed for any out-of-pocket expenses incurred in connection with activities on Bull Horn’s behalf such as identifying potential target businesses and performing due diligence on suitable business combinations. Bull Horn does not have a policy that prohibits its sponsor, executive officers or directors, or any of their respective affiliates, from negotiating for the reimbursement of out-of-pocket expenses by a target business. Bull Horn’s audit committee reviews on a quarterly basis all payments that were made to our sponsor, officers, directors or Bull Horn’s or their affiliates and determines which expenses and the amount of expenses that will be reimbursed. There is no cap or ceiling on the reimbursement of out-of-pocket expenses incurred by such persons in connection with activities on Bull Horn’s behalf.</w:t>
      </w:r>
    </w:p>
    <w:p>
      <w:pPr>
        <w:spacing w:after="0" w:line="184"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color w:val="auto"/>
        </w:rPr>
        <w:t>On November 18, 2018, as amended on December 23, 2019, Bull Horn issued an unsecured promissory note (the “</w:t>
      </w:r>
      <w:r>
        <w:rPr>
          <w:rFonts w:ascii="Times New Roman" w:cs="Times New Roman" w:eastAsia="Times New Roman" w:hAnsi="Times New Roman"/>
          <w:sz w:val="18"/>
          <w:szCs w:val="18"/>
          <w:b w:val="1"/>
          <w:bCs w:val="1"/>
          <w:color w:val="auto"/>
        </w:rPr>
        <w:t>Promissory Note</w:t>
      </w:r>
      <w:r>
        <w:rPr>
          <w:rFonts w:ascii="Times New Roman" w:cs="Times New Roman" w:eastAsia="Times New Roman" w:hAnsi="Times New Roman"/>
          <w:sz w:val="18"/>
          <w:szCs w:val="18"/>
          <w:color w:val="auto"/>
        </w:rPr>
        <w:t>”) to our sponsor, pursuant to which our company could borrow up to an aggregate principal amount of $300,000. The note was non-interest bearing and payable on the earlier of (i) December 31, 2020 or (ii) the consummation of the initial public offering. As of September 30, 2020 and December 31, 2019, there was $177,329 and $152,644, respectively, outstanding under the Promissory Note. The outstanding balance under the Promissory Note of $194,830 was repaid at the closing of the initial public offering on November 3, 2020.</w:t>
      </w:r>
    </w:p>
    <w:p>
      <w:pPr>
        <w:spacing w:after="0" w:line="183"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sponsor or an affiliate of our sponsor or certain of our officers and directors may, but are not obligated to, loan Bull Horn funds on a non-interest bearing basis as may be required. If Bull Horn completes an initial business combination, it would repay such loaned amounts. In the event that the initial business combination does not close, Bull Horn may use a portion of the working capital held outside the trust account to repay such loaned amounts but no proceeds from its trust account would be used for such repayment. Up to $1,500,000 of such loans may be convertible into warrants at a price of $1.00 per warrant at the option of the lender. The warrants would be identical to the Private Placement Warrants, including as to exercise price, exercisability and exercise period. Bull Horn does not expect to seek loans from parties other than our sponsor or an affiliate of our sponsor as Bull Horn does not believe third parties will be willing to loan such funds and provide a waiver against any and all rights to seek access to funds in its trust account.</w:t>
      </w:r>
    </w:p>
    <w:p>
      <w:pPr>
        <w:spacing w:after="0" w:line="192" w:lineRule="exact"/>
        <w:rPr>
          <w:sz w:val="20"/>
          <w:szCs w:val="20"/>
          <w:color w:val="auto"/>
        </w:rPr>
      </w:pPr>
    </w:p>
    <w:p>
      <w:pPr>
        <w:jc w:val="both"/>
        <w:ind w:right="80" w:firstLine="432"/>
        <w:spacing w:after="0" w:line="258" w:lineRule="auto"/>
        <w:rPr>
          <w:sz w:val="20"/>
          <w:szCs w:val="20"/>
          <w:color w:val="auto"/>
        </w:rPr>
      </w:pPr>
      <w:r>
        <w:rPr>
          <w:rFonts w:ascii="Times New Roman" w:cs="Times New Roman" w:eastAsia="Times New Roman" w:hAnsi="Times New Roman"/>
          <w:sz w:val="18"/>
          <w:szCs w:val="18"/>
          <w:color w:val="auto"/>
        </w:rPr>
        <w:t>The sponsor agreed to lend Bull Horn $66,667 (or approximately $0.02 per public share that remains outstanding) per month to deposit into the trust account in connection with the extension of Bull Horn’s termination date from May 3, 2022 to November 3, 2022. If the initial business combination is not consummated by November 3, 2022, then Bull Horn’s existence will terminate, and Bull Horn will distribute all amounts in the trust account. On May 2, 2022, Bull Horn issued a promissory note to the sponsor in connection with such loan, which bears no interest and is repayable in full upon the earlier of (a) the date of the consummation of Bull Horn’s initial business combination, or (b) the date of the liquidation of Bull Horn.</w:t>
      </w:r>
    </w:p>
    <w:p>
      <w:pPr>
        <w:spacing w:after="0" w:line="183"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After its initial business combination, members of Bull Horn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Bull Horn’s initial business combination, as applicable, as it will be up to the directors of the post-combination business to determine executive and director compensation.</w:t>
      </w:r>
    </w:p>
    <w:p>
      <w:pPr>
        <w:spacing w:after="0" w:line="183" w:lineRule="exact"/>
        <w:rPr>
          <w:sz w:val="20"/>
          <w:szCs w:val="20"/>
          <w:color w:val="auto"/>
        </w:rPr>
      </w:pPr>
    </w:p>
    <w:p>
      <w:pPr>
        <w:ind w:right="60" w:firstLine="432"/>
        <w:spacing w:after="0" w:line="312" w:lineRule="auto"/>
        <w:rPr>
          <w:sz w:val="20"/>
          <w:szCs w:val="20"/>
          <w:color w:val="auto"/>
        </w:rPr>
      </w:pPr>
      <w:r>
        <w:rPr>
          <w:rFonts w:ascii="Times New Roman" w:cs="Times New Roman" w:eastAsia="Times New Roman" w:hAnsi="Times New Roman"/>
          <w:sz w:val="17"/>
          <w:szCs w:val="17"/>
          <w:color w:val="auto"/>
        </w:rPr>
        <w:t>Bull Horn has entered into a registration and shareholder rights agreement with respect to the Private Placement Warrants, the warrants issuable upon conversion of working capital loans (if any) and the ordinary shares issuable upon exercise of the foregoing and upon conversion of the founder shares.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Effective upon the consummation of the Business Combination, the board of directors of the Company will adopt a written related person transaction policy that will set forth the following policies and procedures for the review and approval or ratification of related person transactions. A “related person transaction” is a transaction, arrangement or relationship in which the post-combination company or any of its subsidiaries was, is or will be a participant, the amount of which involved exceeds $120,000, and in which any related person had, has or will have a direct or indirect material interest. A “related person” means:</w:t>
      </w:r>
    </w:p>
    <w:p>
      <w:pPr>
        <w:spacing w:after="0" w:line="183" w:lineRule="exact"/>
        <w:rPr>
          <w:sz w:val="20"/>
          <w:szCs w:val="20"/>
          <w:color w:val="auto"/>
        </w:rPr>
      </w:pPr>
    </w:p>
    <w:p>
      <w:pPr>
        <w:ind w:left="880" w:hanging="440"/>
        <w:spacing w:after="0"/>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the Company’s executive officers or directors;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the post-combination company to be the beneficial owner of more than 5% of the Company’s voting stock;</w:t>
      </w:r>
    </w:p>
    <w:p>
      <w:pPr>
        <w:spacing w:after="0" w:line="225" w:lineRule="exact"/>
        <w:rPr>
          <w:rFonts w:ascii="Times New Roman" w:cs="Times New Roman" w:eastAsia="Times New Roman" w:hAnsi="Times New Roman"/>
          <w:sz w:val="18"/>
          <w:szCs w:val="18"/>
          <w:color w:val="auto"/>
        </w:rPr>
      </w:pPr>
    </w:p>
    <w:p>
      <w:pPr>
        <w:ind w:left="880" w:right="120" w:hanging="440"/>
        <w:spacing w:after="0" w:line="261"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the Company’s voting stock, and any person (other than a tenant or employee) sharing the household of such director, executive officer or beneficial owner of more than 5% of the Company’s voting stock; and</w:t>
      </w:r>
    </w:p>
    <w:p>
      <w:pPr>
        <w:spacing w:after="0" w:line="179" w:lineRule="exact"/>
        <w:rPr>
          <w:rFonts w:ascii="Times New Roman" w:cs="Times New Roman" w:eastAsia="Times New Roman" w:hAnsi="Times New Roman"/>
          <w:sz w:val="18"/>
          <w:szCs w:val="18"/>
          <w:color w:val="auto"/>
        </w:rPr>
      </w:pPr>
    </w:p>
    <w:p>
      <w:pPr>
        <w:ind w:left="880" w:right="200" w:hanging="440"/>
        <w:spacing w:after="0" w:line="282"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THE COMPANY’S SECURITIES</w:t>
      </w:r>
    </w:p>
    <w:p>
      <w:pPr>
        <w:spacing w:after="0" w:line="225" w:lineRule="exact"/>
        <w:rPr>
          <w:sz w:val="20"/>
          <w:szCs w:val="20"/>
          <w:color w:val="auto"/>
        </w:rPr>
      </w:pPr>
    </w:p>
    <w:p>
      <w:pPr>
        <w:ind w:right="120" w:firstLine="432"/>
        <w:spacing w:after="0" w:line="259" w:lineRule="auto"/>
        <w:rPr>
          <w:sz w:val="20"/>
          <w:szCs w:val="20"/>
          <w:color w:val="auto"/>
        </w:rPr>
      </w:pPr>
      <w:r>
        <w:rPr>
          <w:rFonts w:ascii="Times New Roman" w:cs="Times New Roman" w:eastAsia="Times New Roman" w:hAnsi="Times New Roman"/>
          <w:sz w:val="18"/>
          <w:szCs w:val="18"/>
          <w:color w:val="auto"/>
        </w:rPr>
        <w:t>Pursuant to Rule 144 under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a person who has beneficially owned restricted Company Common Stock or Company warrants for at least six months would be entitled to sell their securities provided that (i) such person is not deemed to have been an affiliate of the Company at the time of, or at any time during the three months preceding, a sale and (ii) the Company is subject to the Exchange Act periodic reporting requirements for at least three months before the sale and have filed all required reports under Section 13 or 15(d) of the Exchange Act during the twelve months (or such shorter period as the Company was required to file reports) preceding the sale.</w:t>
      </w:r>
    </w:p>
    <w:p>
      <w:pPr>
        <w:spacing w:after="0" w:line="183"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Company Common Stock or Company warrants for at least six months but who are affiliates of the Company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jc w:val="both"/>
        <w:ind w:left="880" w:right="20" w:hanging="440"/>
        <w:spacing w:after="0" w:line="266"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Company Common Stock then outstanding (as of the date of this proxy statement, Bull Horn has 5,116,414 ordinary shares outstanding (which will translate into an equal number of shares of common stock following the Domestication), and Bull Horn expects to issue an additional 17,123,288 to Coeptis shareholders in connection with the Business Combination); or</w:t>
      </w:r>
    </w:p>
    <w:p>
      <w:pPr>
        <w:spacing w:after="0" w:line="17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Company Common Stock during the four calendar weeks preceding the filing of a notice on Form 144 with respect to the sale</w:t>
      </w:r>
    </w:p>
    <w:p>
      <w:pPr>
        <w:spacing w:after="0" w:line="162"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Sales by affiliates of the Company under Rule 144 are also limited by manner of sale provisions and notice requirements and to the availability of current public information about the Company.</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229"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880" w:hanging="440"/>
        <w:spacing w:after="0"/>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w:t>
      </w:r>
    </w:p>
    <w:p>
      <w:pPr>
        <w:spacing w:after="0" w:line="27" w:lineRule="exact"/>
        <w:rPr>
          <w:rFonts w:ascii="Times New Roman" w:cs="Times New Roman" w:eastAsia="Times New Roman" w:hAnsi="Times New Roman"/>
          <w:sz w:val="18"/>
          <w:szCs w:val="18"/>
          <w:color w:val="auto"/>
        </w:rPr>
      </w:pPr>
    </w:p>
    <w:p>
      <w:pPr>
        <w:ind w:left="88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preceding the date of the proposed sale in reliance on Rule 144 (or such shorter period that the issuer was required to file such reports and materials), other than Form 8-K reports; and</w:t>
      </w:r>
    </w:p>
    <w:p>
      <w:pPr>
        <w:spacing w:after="0" w:line="181" w:lineRule="exact"/>
        <w:rPr>
          <w:rFonts w:ascii="Times New Roman" w:cs="Times New Roman" w:eastAsia="Times New Roman" w:hAnsi="Times New Roman"/>
          <w:sz w:val="18"/>
          <w:szCs w:val="18"/>
          <w:color w:val="auto"/>
        </w:rPr>
      </w:pPr>
    </w:p>
    <w:p>
      <w:pPr>
        <w:ind w:left="880" w:right="160" w:hanging="440"/>
        <w:spacing w:after="0" w:line="282" w:lineRule="auto"/>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As a result, the sponsor will be able to sell its founder shares pursuant to Rule 144 without registration one year after Bull Horn has completed its initial business combination.</w:t>
      </w:r>
    </w:p>
    <w:p>
      <w:pPr>
        <w:spacing w:after="0" w:line="162"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Bull Horn anticipates that following the completion of the Business Combination, the Company will no longer be a shell company, and so, once the conditions set forth in the exceptions listed above are satisfied, Rule 144 will become available for the resale of the above noted restricted securities.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ind w:right="500" w:firstLine="432"/>
        <w:spacing w:after="0" w:line="261" w:lineRule="auto"/>
        <w:rPr>
          <w:sz w:val="20"/>
          <w:szCs w:val="20"/>
          <w:color w:val="auto"/>
        </w:rPr>
      </w:pPr>
      <w:r>
        <w:rPr>
          <w:rFonts w:ascii="Times New Roman" w:cs="Times New Roman" w:eastAsia="Times New Roman" w:hAnsi="Times New Roman"/>
          <w:sz w:val="18"/>
          <w:szCs w:val="18"/>
          <w:color w:val="auto"/>
        </w:rPr>
        <w:t>If the Business Combination is completed, Coeptis stockholders who do not deliver vote in favor of the Business Combination are entitled to appraisal rights under Section 262 of the DGCL (“</w:t>
      </w:r>
      <w:r>
        <w:rPr>
          <w:rFonts w:ascii="Times New Roman" w:cs="Times New Roman" w:eastAsia="Times New Roman" w:hAnsi="Times New Roman"/>
          <w:sz w:val="18"/>
          <w:szCs w:val="18"/>
          <w:b w:val="1"/>
          <w:bCs w:val="1"/>
          <w:color w:val="auto"/>
        </w:rPr>
        <w:t>Section 262</w:t>
      </w:r>
      <w:r>
        <w:rPr>
          <w:rFonts w:ascii="Times New Roman" w:cs="Times New Roman" w:eastAsia="Times New Roman" w:hAnsi="Times New Roman"/>
          <w:sz w:val="18"/>
          <w:szCs w:val="18"/>
          <w:color w:val="auto"/>
        </w:rPr>
        <w:t xml:space="preserve">”) provided that they comply with the conditions established by Section 262. For more information about such rights, see the provisions of Section 262 of the DGCL, attached hereto as </w:t>
      </w:r>
      <w:r>
        <w:rPr>
          <w:rFonts w:ascii="Times New Roman" w:cs="Times New Roman" w:eastAsia="Times New Roman" w:hAnsi="Times New Roman"/>
          <w:sz w:val="18"/>
          <w:szCs w:val="18"/>
          <w:i w:val="1"/>
          <w:iCs w:val="1"/>
          <w:u w:val="single" w:color="auto"/>
          <w:color w:val="0000EE"/>
        </w:rPr>
        <w:t>Annex E</w:t>
      </w:r>
      <w:r>
        <w:rPr>
          <w:rFonts w:ascii="Times New Roman" w:cs="Times New Roman" w:eastAsia="Times New Roman" w:hAnsi="Times New Roman"/>
          <w:sz w:val="18"/>
          <w:szCs w:val="18"/>
          <w:color w:val="auto"/>
        </w:rPr>
        <w:t>, and the section entitled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 — Appraisal Rights.”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STOCKHOLDER COMMUNICATIONS</w:t>
      </w:r>
    </w:p>
    <w:p>
      <w:pPr>
        <w:spacing w:after="0" w:line="229" w:lineRule="exact"/>
        <w:rPr>
          <w:sz w:val="20"/>
          <w:szCs w:val="20"/>
          <w:color w:val="auto"/>
        </w:rPr>
      </w:pPr>
    </w:p>
    <w:p>
      <w:pPr>
        <w:jc w:val="both"/>
        <w:ind w:right="340" w:firstLine="432"/>
        <w:spacing w:after="0" w:line="266" w:lineRule="auto"/>
        <w:rPr>
          <w:sz w:val="20"/>
          <w:szCs w:val="20"/>
          <w:color w:val="auto"/>
        </w:rPr>
      </w:pPr>
      <w:r>
        <w:rPr>
          <w:rFonts w:ascii="Times New Roman" w:cs="Times New Roman" w:eastAsia="Times New Roman" w:hAnsi="Times New Roman"/>
          <w:sz w:val="18"/>
          <w:szCs w:val="18"/>
          <w:color w:val="auto"/>
        </w:rPr>
        <w:t>Stockholders and interested parties may communicate with the Coeptis Board, any committee chairperson or the non-management directors as a group by writing to the Coeptis Board at 105 Bradford Road, Suite 420, Wexford, PA 15090. Each communication will be forwarded, depending on the subject matter, to the applicable board, the appropriate committee chairperson or all non-management directors.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consolidated financial statements of Coeptis Therapeutics, Inc. as of December 31, 2021 and 2020 and for each of the years ended December 31,</w:t>
      </w:r>
    </w:p>
    <w:p>
      <w:pPr>
        <w:spacing w:after="0" w:line="27" w:lineRule="exact"/>
        <w:rPr>
          <w:sz w:val="20"/>
          <w:szCs w:val="20"/>
          <w:color w:val="auto"/>
        </w:rPr>
      </w:pPr>
    </w:p>
    <w:p>
      <w:pPr>
        <w:jc w:val="both"/>
        <w:ind w:right="200"/>
        <w:spacing w:after="0" w:line="290" w:lineRule="auto"/>
        <w:rPr>
          <w:sz w:val="20"/>
          <w:szCs w:val="20"/>
          <w:color w:val="auto"/>
        </w:rPr>
      </w:pPr>
      <w:r>
        <w:rPr>
          <w:rFonts w:ascii="Times New Roman" w:cs="Times New Roman" w:eastAsia="Times New Roman" w:hAnsi="Times New Roman"/>
          <w:sz w:val="17"/>
          <w:szCs w:val="17"/>
          <w:color w:val="auto"/>
        </w:rPr>
        <w:t>2021 and 2020 are included in this proxy statement have been audited by Turner, Stone &amp; Company, LLP, independent registered public accounting firm, as set forth in their report thereon and are included in reliance on such report given on the authority of such firm as an expert in auditing and accounting.</w:t>
      </w:r>
    </w:p>
    <w:p>
      <w:pPr>
        <w:spacing w:after="0" w:line="15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audited financial statements of Bull Horn Holdings Corp. as of December 31, 2021 and 2020 and for each of the years ended December 31, 2021 and 2020 included in this proxy statement have been audited by Marcum LLP, independent registered public accounting firm, as set forth in their report thereon (which contains an explanatory paragraph relating to substantial doubt about the ability of Bull Horn Holdings Corp. to continue as a going concern as described in Note 1 to the financial statements), appearing elsewhere in this proxy statement, and are included in reliance on such report given upon such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3" w:name="page144"/>
    <w:bookmarkEnd w:id="14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229"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Pursuant to the rules of the SEC, Coeptis and the services that it employs to deliver communications to its stockholders are permitted to deliver to two or more stockholders sharing the same address a single copy of Coeptis’ proxy statement. Upon written or oral request, Coeptis will deliver a separate copy of the proxy statement to any stockholder at a shared address to which a single copy of each document was delivered and who wishes to receive separate copies of such documents. Stockholders receiving multiple copies of such documents may likewise request that Coeptis deliver single copies of such documents in the future. Stockholders may notify Coeptis of their requests by calling or writing at 105 Bradford Road, Suite 420, Wexford, PA 15090 or by telephone at (724) 934-6467.</w:t>
      </w:r>
    </w:p>
    <w:p>
      <w:pPr>
        <w:spacing w:after="0" w:line="18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transfer agent for Coeptis’ securities is Continental Stock Transfer &amp; Trust Company.</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SUBMISSION OF PROPOSALS</w:t>
      </w:r>
    </w:p>
    <w:p>
      <w:pPr>
        <w:spacing w:after="0" w:line="22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Coeptis Board is aware of no other matter that may be brought before the Stockholders Meeting. If any matter other than the Proposals or related matters should properly come before such meetings, however, the persons named in the enclosed proxies will vote proxies in accordance with their judgment on those matters.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22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If the Business Combination is completed, you will be entitled to attend and participate in Company’s annual meetings of stockholders. If the Company holds a 2023 annual meeting of stockholders, it will provide notice of or otherwise publicly disclose the date on which the 2023 annual meeting will be held. If the 2023 annual meeting of stockholders is held, stockholder proposals will be eligible for consideration by the directors for inclusion in the proxy statement for the Company’s 2023 annual meeting of stockholders in accordance with Rule 14a-8 under the Exchange Act.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This proxy statement is available without charge to stockholders of Coeptis upon written or oral request. If you would like additional copies of this proxy statement or if you have questions about the Business Combination or the Proposals to be presented at the Stockholders Meeting, you should contact Coeptis in writing addressed to: Daniel Yerace, Coeptis Therapeutics, Inc., at 105 Bradford Road, Suite 420, Wexford, PA 15090 or by telephone at (724) 934-6467. You will not be charged for any of the documents that you request.</w:t>
      </w:r>
    </w:p>
    <w:p>
      <w:pPr>
        <w:spacing w:after="0" w:line="180"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To obtain timely delivery of the documents, you must request them no later than five (5) business days before the date of the meeting or no later than October 19, 2022.</w:t>
      </w:r>
    </w:p>
    <w:p>
      <w:pPr>
        <w:spacing w:after="0" w:line="162"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Information and statements contained in this proxy statement or any annex to this proxy statement are qualified in all respects by reference to the copy of the relevant contract or other annex filed as an exhibit to this proxy statement.</w:t>
      </w:r>
    </w:p>
    <w:p>
      <w:pPr>
        <w:spacing w:after="0" w:line="162" w:lineRule="exact"/>
        <w:rPr>
          <w:sz w:val="20"/>
          <w:szCs w:val="20"/>
          <w:color w:val="auto"/>
        </w:rPr>
      </w:pPr>
    </w:p>
    <w:p>
      <w:pPr>
        <w:ind w:right="120" w:firstLine="432"/>
        <w:spacing w:after="0" w:line="312" w:lineRule="auto"/>
        <w:rPr>
          <w:sz w:val="20"/>
          <w:szCs w:val="20"/>
          <w:color w:val="auto"/>
        </w:rPr>
      </w:pPr>
      <w:r>
        <w:rPr>
          <w:rFonts w:ascii="Times New Roman" w:cs="Times New Roman" w:eastAsia="Times New Roman" w:hAnsi="Times New Roman"/>
          <w:sz w:val="17"/>
          <w:szCs w:val="17"/>
          <w:color w:val="auto"/>
        </w:rPr>
        <w:t>All information contained in this document relating to Coeptis has been supplied by Coeptis and all such information relating to Bull Horn has been supplied by Bull Horn. Information provided by Bull Horn or Coeptis does not constitute any representation, estimate or projection of any other party.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460" w:type="dxa"/>
            <w:vAlign w:val="bottom"/>
            <w:gridSpan w:val="21"/>
            <w:vMerge w:val="continue"/>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2021 and December 31, 2020</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years ended December 31, 2021 and 2020</w:t>
            </w:r>
          </w:p>
        </w:tc>
        <w:tc>
          <w:tcPr>
            <w:tcW w:w="2180" w:type="dxa"/>
            <w:vAlign w:val="bottom"/>
            <w:gridSpan w:val="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10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(Deficit) for the years ended December 31, 2021 and 2020</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78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and 2020</w:t>
            </w:r>
          </w:p>
        </w:tc>
        <w:tc>
          <w:tcPr>
            <w:tcW w:w="2660" w:type="dxa"/>
            <w:vAlign w:val="bottom"/>
            <w:gridSpan w:val="6"/>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300" w:type="dxa"/>
            <w:vAlign w:val="bottom"/>
            <w:tcBorders>
              <w:top w:val="single" w:sz="8" w:color="0000EE"/>
            </w:tcBorders>
            <w:gridSpan w:val="8"/>
          </w:tcPr>
          <w:p>
            <w:pPr>
              <w:spacing w:after="0"/>
              <w:rPr>
                <w:sz w:val="17"/>
                <w:szCs w:val="17"/>
                <w:color w:val="auto"/>
              </w:rPr>
            </w:pPr>
          </w:p>
        </w:tc>
        <w:tc>
          <w:tcPr>
            <w:tcW w:w="4000" w:type="dxa"/>
            <w:vAlign w:val="bottom"/>
            <w:gridSpan w:val="9"/>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412"/>
        </w:trPr>
        <w:tc>
          <w:tcPr>
            <w:tcW w:w="70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June 30, 2022 (Unaudited) and December 31, 2021</w:t>
            </w:r>
          </w:p>
        </w:tc>
        <w:tc>
          <w:tcPr>
            <w:tcW w:w="3400" w:type="dxa"/>
            <w:vAlign w:val="bottom"/>
            <w:gridSpan w:val="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F-16</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(Unaudited) for the Three and Six Months Ended June 30, 2022 and 2021</w:t>
            </w:r>
          </w:p>
        </w:tc>
        <w:tc>
          <w:tcPr>
            <w:tcW w:w="1440" w:type="dxa"/>
            <w:vAlign w:val="bottom"/>
            <w:gridSpan w:val="3"/>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F-17</w:t>
            </w:r>
          </w:p>
        </w:tc>
        <w:tc>
          <w:tcPr>
            <w:tcW w:w="0" w:type="dxa"/>
            <w:vAlign w:val="bottom"/>
          </w:tcPr>
          <w:p>
            <w:pPr>
              <w:spacing w:after="0"/>
              <w:rPr>
                <w:sz w:val="1"/>
                <w:szCs w:val="1"/>
                <w:color w:val="auto"/>
              </w:rPr>
            </w:pPr>
          </w:p>
        </w:tc>
      </w:tr>
      <w:tr>
        <w:trPr>
          <w:trHeight w:val="196"/>
        </w:trPr>
        <w:tc>
          <w:tcPr>
            <w:tcW w:w="10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 (Unaudited) for the Three and Six Months Ended June 30, 2022 and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16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F-18</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Six Months Ended June 30, 2022 and 2021</w:t>
            </w:r>
          </w:p>
        </w:tc>
        <w:tc>
          <w:tcPr>
            <w:tcW w:w="2160" w:type="dxa"/>
            <w:vAlign w:val="bottom"/>
            <w:gridSpan w:val="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F-19</w:t>
            </w:r>
          </w:p>
        </w:tc>
        <w:tc>
          <w:tcPr>
            <w:tcW w:w="0" w:type="dxa"/>
            <w:vAlign w:val="bottom"/>
          </w:tcPr>
          <w:p>
            <w:pPr>
              <w:spacing w:after="0"/>
              <w:rPr>
                <w:sz w:val="1"/>
                <w:szCs w:val="1"/>
                <w:color w:val="auto"/>
              </w:rPr>
            </w:pPr>
          </w:p>
        </w:tc>
      </w:tr>
      <w:tr>
        <w:trPr>
          <w:trHeight w:val="196"/>
        </w:trPr>
        <w:tc>
          <w:tcPr>
            <w:tcW w:w="10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F-20</w:t>
            </w:r>
          </w:p>
        </w:tc>
        <w:tc>
          <w:tcPr>
            <w:tcW w:w="0" w:type="dxa"/>
            <w:vAlign w:val="bottom"/>
          </w:tcPr>
          <w:p>
            <w:pPr>
              <w:spacing w:after="0"/>
              <w:rPr>
                <w:sz w:val="1"/>
                <w:szCs w:val="1"/>
                <w:color w:val="auto"/>
              </w:rPr>
            </w:pPr>
          </w:p>
        </w:tc>
      </w:tr>
      <w:tr>
        <w:trPr>
          <w:trHeight w:val="668"/>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40" w:type="dxa"/>
            <w:vAlign w:val="bottom"/>
            <w:gridSpan w:val="16"/>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BULL HORN HOLDINGS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1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Number ID 688)</w:t>
            </w:r>
          </w:p>
        </w:tc>
        <w:tc>
          <w:tcPr>
            <w:tcW w:w="428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F-30</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Balance Sheets as of December 31, 2021 and December 31, 2020</w:t>
            </w:r>
          </w:p>
        </w:tc>
        <w:tc>
          <w:tcPr>
            <w:tcW w:w="5740" w:type="dxa"/>
            <w:vAlign w:val="bottom"/>
            <w:gridSpan w:val="1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F-31</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Operations for the years ended December 31, 2021 and 2020</w:t>
            </w:r>
          </w:p>
        </w:tc>
        <w:tc>
          <w:tcPr>
            <w:tcW w:w="5040" w:type="dxa"/>
            <w:vAlign w:val="bottom"/>
            <w:gridSpan w:val="13"/>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F-32</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Changes in Shareholders’ Deficit for the years ended December 31, 2021 and 2020</w:t>
            </w:r>
          </w:p>
        </w:tc>
        <w:tc>
          <w:tcPr>
            <w:tcW w:w="3440" w:type="dxa"/>
            <w:vAlign w:val="bottom"/>
            <w:gridSpan w:val="8"/>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F-33</w:t>
            </w:r>
          </w:p>
        </w:tc>
        <w:tc>
          <w:tcPr>
            <w:tcW w:w="0" w:type="dxa"/>
            <w:vAlign w:val="bottom"/>
          </w:tcPr>
          <w:p>
            <w:pPr>
              <w:spacing w:after="0"/>
              <w:rPr>
                <w:sz w:val="1"/>
                <w:szCs w:val="1"/>
                <w:color w:val="auto"/>
              </w:rPr>
            </w:pPr>
          </w:p>
        </w:tc>
      </w:tr>
      <w:tr>
        <w:trPr>
          <w:trHeight w:val="196"/>
        </w:trPr>
        <w:tc>
          <w:tcPr>
            <w:tcW w:w="10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2021 and 2020</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F-34</w:t>
            </w:r>
          </w:p>
        </w:tc>
        <w:tc>
          <w:tcPr>
            <w:tcW w:w="0" w:type="dxa"/>
            <w:vAlign w:val="bottom"/>
          </w:tcPr>
          <w:p>
            <w:pPr>
              <w:spacing w:after="0"/>
              <w:rPr>
                <w:sz w:val="1"/>
                <w:szCs w:val="1"/>
                <w:color w:val="auto"/>
              </w:rPr>
            </w:pPr>
          </w:p>
        </w:tc>
      </w:tr>
      <w:tr>
        <w:trPr>
          <w:trHeight w:val="196"/>
        </w:trPr>
        <w:tc>
          <w:tcPr>
            <w:tcW w:w="54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5000" w:type="dxa"/>
            <w:vAlign w:val="bottom"/>
            <w:gridSpan w:val="1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F-35</w:t>
            </w:r>
          </w:p>
        </w:tc>
        <w:tc>
          <w:tcPr>
            <w:tcW w:w="0" w:type="dxa"/>
            <w:vAlign w:val="bottom"/>
          </w:tcPr>
          <w:p>
            <w:pPr>
              <w:spacing w:after="0"/>
              <w:rPr>
                <w:sz w:val="1"/>
                <w:szCs w:val="1"/>
                <w:color w:val="auto"/>
              </w:rPr>
            </w:pPr>
          </w:p>
        </w:tc>
      </w:tr>
      <w:tr>
        <w:trPr>
          <w:trHeight w:val="20"/>
        </w:trPr>
        <w:tc>
          <w:tcPr>
            <w:tcW w:w="2160" w:type="dxa"/>
            <w:vAlign w:val="bottom"/>
            <w:gridSpan w:val="3"/>
            <w:shd w:val="clear" w:color="auto" w:fill="0000EE"/>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June 30, 2022 (Unaudited) and December 31, 2021</w:t>
            </w:r>
          </w:p>
        </w:tc>
        <w:tc>
          <w:tcPr>
            <w:tcW w:w="3400" w:type="dxa"/>
            <w:vAlign w:val="bottom"/>
            <w:gridSpan w:val="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F-48</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(Unaudited) for the Three and Six Months Ended June 30, 2022 and 2021</w:t>
            </w:r>
          </w:p>
        </w:tc>
        <w:tc>
          <w:tcPr>
            <w:tcW w:w="1440" w:type="dxa"/>
            <w:vAlign w:val="bottom"/>
            <w:gridSpan w:val="3"/>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F-49</w:t>
            </w:r>
          </w:p>
        </w:tc>
        <w:tc>
          <w:tcPr>
            <w:tcW w:w="0" w:type="dxa"/>
            <w:vAlign w:val="bottom"/>
          </w:tcPr>
          <w:p>
            <w:pPr>
              <w:spacing w:after="0"/>
              <w:rPr>
                <w:sz w:val="1"/>
                <w:szCs w:val="1"/>
                <w:color w:val="auto"/>
              </w:rPr>
            </w:pPr>
          </w:p>
        </w:tc>
      </w:tr>
      <w:tr>
        <w:trPr>
          <w:trHeight w:val="196"/>
        </w:trPr>
        <w:tc>
          <w:tcPr>
            <w:tcW w:w="10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Shareholders’ Deficit (Unaudited) for the Three and Six Months Ended June 30, 2022 and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16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F-50</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Six Months Ended June 30, 2022 and 2021</w:t>
            </w:r>
          </w:p>
        </w:tc>
        <w:tc>
          <w:tcPr>
            <w:tcW w:w="2160" w:type="dxa"/>
            <w:vAlign w:val="bottom"/>
            <w:gridSpan w:val="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F-51</w:t>
            </w:r>
          </w:p>
        </w:tc>
        <w:tc>
          <w:tcPr>
            <w:tcW w:w="0" w:type="dxa"/>
            <w:vAlign w:val="bottom"/>
          </w:tcPr>
          <w:p>
            <w:pPr>
              <w:spacing w:after="0"/>
              <w:rPr>
                <w:sz w:val="1"/>
                <w:szCs w:val="1"/>
                <w:color w:val="auto"/>
              </w:rPr>
            </w:pPr>
          </w:p>
        </w:tc>
      </w:tr>
      <w:tr>
        <w:trPr>
          <w:trHeight w:val="196"/>
        </w:trPr>
        <w:tc>
          <w:tcPr>
            <w:tcW w:w="10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F-52</w:t>
            </w:r>
          </w:p>
        </w:tc>
        <w:tc>
          <w:tcPr>
            <w:tcW w:w="0" w:type="dxa"/>
            <w:vAlign w:val="bottom"/>
          </w:tcPr>
          <w:p>
            <w:pPr>
              <w:spacing w:after="0"/>
              <w:rPr>
                <w:sz w:val="1"/>
                <w:szCs w:val="1"/>
                <w:color w:val="auto"/>
              </w:rPr>
            </w:pPr>
          </w:p>
        </w:tc>
      </w:tr>
      <w:tr>
        <w:trPr>
          <w:trHeight w:val="675"/>
        </w:trPr>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62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12"/>
          </w:tcPr>
          <w:p>
            <w:pPr>
              <w:jc w:val="center"/>
              <w:ind w:right="4660"/>
              <w:spacing w:after="0"/>
              <w:rPr>
                <w:sz w:val="20"/>
                <w:szCs w:val="20"/>
                <w:color w:val="auto"/>
              </w:rPr>
            </w:pPr>
            <w:r>
              <w:rPr>
                <w:rFonts w:ascii="Times New Roman" w:cs="Times New Roman" w:eastAsia="Times New Roman" w:hAnsi="Times New Roman"/>
                <w:sz w:val="18"/>
                <w:szCs w:val="18"/>
                <w:color w:val="auto"/>
              </w:rPr>
              <w:t>F-1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08"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Coeptis Therapeutics, Inc.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Coeptis Therapeutics, Inc. (formerly Vinings Holdings, Inc.) and Subsidiaries (the “Company”) as of December 31, 2021 and 2020 and the related consolidated statements of operations, stockholders’ equity (deficit) and cash flows for each of the years then ended and the related notes (collectively referred to as the “financial statements”). In our opinion, the financial statements present fairly, in all material respects, the financial position for the Company as of December 31, 2021 and 2020, and the results of its operations and its cash flows for each of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since inception and has insufficient working capital to fund future operations both of which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misstatements,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81" w:lineRule="exact"/>
        <w:rPr>
          <w:sz w:val="20"/>
          <w:szCs w:val="20"/>
          <w:color w:val="auto"/>
        </w:rPr>
      </w:pPr>
    </w:p>
    <w:p>
      <w:pPr>
        <w:jc w:val="both"/>
        <w:ind w:left="980" w:hanging="324"/>
        <w:spacing w:after="0" w:line="258" w:lineRule="auto"/>
        <w:tabs>
          <w:tab w:leader="none" w:pos="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Co-development agreements </w:t>
      </w:r>
      <w:r>
        <w:rPr>
          <w:rFonts w:ascii="Times New Roman" w:cs="Times New Roman" w:eastAsia="Times New Roman" w:hAnsi="Times New Roman"/>
          <w:sz w:val="18"/>
          <w:szCs w:val="18"/>
          <w:color w:val="auto"/>
        </w:rPr>
        <w:t>– as discussed in Note 3 to the financial statements, during the year, the Company entered into two agreements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jointly develop and commercialize two products, which we identified as a critical audit matter. There was a high degree of auditor judgment to evaluate the significant assumptions used by management in determining the accounting recognition and related disclosures, including the period over which those costs were to be amortized and related impairment considerations. The sensitivity of reasonably possible changes to those assumptions could have had a significant impact on the determination of recorded amounts of such assets.</w:t>
      </w:r>
    </w:p>
    <w:p>
      <w:pPr>
        <w:spacing w:after="0" w:line="18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reviewed the underlying documents, verified the cash payments made pursuant to the agreements, confirmed the note payable balances and other terms with the co-developers, and evaluated the reasonableness of the Company’s amortization period and its impairment assessment.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Turner, Stone &amp; Company,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Tuner, Stone &amp; Company,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12 Months Ended</w:t>
            </w:r>
          </w:p>
        </w:tc>
      </w:tr>
      <w:tr>
        <w:trPr>
          <w:trHeight w:val="223"/>
        </w:trPr>
        <w:tc>
          <w:tcPr>
            <w:tcW w:w="30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100" w:type="dxa"/>
            <w:vAlign w:val="bottom"/>
          </w:tcPr>
          <w:p>
            <w:pPr>
              <w:spacing w:after="0"/>
              <w:rPr>
                <w:sz w:val="19"/>
                <w:szCs w:val="19"/>
                <w:color w:val="auto"/>
              </w:rPr>
            </w:pPr>
          </w:p>
        </w:tc>
      </w:tr>
      <w:tr>
        <w:trPr>
          <w:trHeight w:val="209"/>
        </w:trPr>
        <w:tc>
          <w:tcPr>
            <w:tcW w:w="30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jc w:val="right"/>
              <w:ind w:righ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2,179,558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202,965</w:t>
            </w:r>
          </w:p>
        </w:tc>
      </w:tr>
      <w:tr>
        <w:trPr>
          <w:trHeight w:val="216"/>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21,786</w:t>
            </w:r>
          </w:p>
        </w:tc>
      </w:tr>
      <w:tr>
        <w:trPr>
          <w:trHeight w:val="229"/>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4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2,179,558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224,751</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fixtures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25,237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25,237</w:t>
            </w:r>
          </w:p>
        </w:tc>
      </w:tr>
      <w:tr>
        <w:trPr>
          <w:trHeight w:val="230"/>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(11,311)</w:t>
            </w:r>
          </w:p>
        </w:tc>
        <w:tc>
          <w:tcPr>
            <w:tcW w:w="1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(9,730)</w:t>
            </w:r>
          </w:p>
        </w:tc>
      </w:tr>
      <w:tr>
        <w:trPr>
          <w:trHeight w:val="209"/>
        </w:trPr>
        <w:tc>
          <w:tcPr>
            <w:tcW w:w="3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fixtures, net</w:t>
            </w:r>
          </w:p>
        </w:tc>
        <w:tc>
          <w:tcPr>
            <w:tcW w:w="4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Co-development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Right of use asset, net of accumulated amortization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4,554,167</w:t>
            </w:r>
          </w:p>
        </w:tc>
        <w:tc>
          <w:tcPr>
            <w:tcW w:w="5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17,925</w:t>
            </w:r>
          </w:p>
        </w:tc>
        <w:tc>
          <w:tcPr>
            <w:tcW w:w="5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58,225</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4,572,091</w:t>
            </w: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6,765,576</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300,484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680"/>
          </w:cols>
          <w:pgMar w:left="320" w:top="900" w:right="339" w:bottom="1440" w:gutter="0" w:footer="0" w:header="0"/>
          <w:type w:val="continuous"/>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134,092</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1,623,840</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199,126</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732,146</w:t>
            </w: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2,417,000</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1,277,500</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related parties, current portion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604,000</w:t>
            </w: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liability, current portion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14,724</w:t>
            </w:r>
          </w:p>
        </w:tc>
        <w:tc>
          <w:tcPr>
            <w:tcW w:w="4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41,618</w:t>
            </w:r>
          </w:p>
        </w:tc>
      </w:tr>
      <w:tr>
        <w:trPr>
          <w:trHeight w:val="230"/>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19"/>
                <w:szCs w:val="19"/>
                <w:color w:val="auto"/>
              </w:rPr>
            </w:pPr>
          </w:p>
        </w:tc>
      </w:tr>
      <w:tr>
        <w:trPr>
          <w:trHeight w:val="210"/>
        </w:trPr>
        <w:tc>
          <w:tcPr>
            <w:tcW w:w="74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2,764,942</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5,279,104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1,650,000</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r>
      <w:tr>
        <w:trPr>
          <w:trHeight w:val="230"/>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liability, non-current portion</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14,723</w:t>
            </w:r>
          </w:p>
        </w:tc>
      </w:tr>
      <w:tr>
        <w:trPr>
          <w:trHeight w:val="210"/>
        </w:trPr>
        <w:tc>
          <w:tcPr>
            <w:tcW w:w="74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7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4,414,942</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5,443,827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7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$0.0001 par value, 10,000,000 shares authorized, 8,000 and -0- shares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750,000,000 shares authorized, 37,082,864 issued and</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36,754,064 outstanding at December 31, 2021, and 26,768,240 shares issued and outstanding at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2020</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3,550</w:t>
            </w:r>
          </w:p>
        </w:tc>
        <w:tc>
          <w:tcPr>
            <w:tcW w:w="4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shd w:val="clear" w:color="auto" w:fill="CCEEFF"/>
          </w:tcPr>
          <w:p>
            <w:pPr>
              <w:spacing w:after="0"/>
              <w:rPr>
                <w:sz w:val="20"/>
                <w:szCs w:val="20"/>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30,144,374</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8,954,985</w:t>
            </w: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328,800 shares at cost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(247,165)</w:t>
            </w:r>
          </w:p>
        </w:tc>
        <w:tc>
          <w:tcPr>
            <w:tcW w:w="4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(27,550,126)</w:t>
            </w:r>
          </w:p>
        </w:tc>
        <w:tc>
          <w:tcPr>
            <w:tcW w:w="44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(14,100,846)</w:t>
            </w:r>
          </w:p>
        </w:tc>
      </w:tr>
      <w:tr>
        <w:trPr>
          <w:trHeight w:val="209"/>
        </w:trPr>
        <w:tc>
          <w:tcPr>
            <w:tcW w:w="74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2,350,634</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(5,143,343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6,765,576</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47" w:name="page148"/>
    <w:bookmarkEnd w:id="147"/>
    <w:p>
      <w:pPr>
        <w:jc w:val="center"/>
        <w:ind w:left="340" w:right="2400"/>
        <w:spacing w:after="0" w:line="278" w:lineRule="auto"/>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HOLDINGS, INC CONSOLIDATED STATEMENTS OF OPERATIONS 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gridSpan w:val="5"/>
          </w:tcPr>
          <w:p>
            <w:pPr>
              <w:jc w:val="right"/>
              <w:ind w:right="1141"/>
              <w:spacing w:after="0"/>
              <w:rPr>
                <w:sz w:val="20"/>
                <w:szCs w:val="20"/>
                <w:color w:val="auto"/>
              </w:rPr>
            </w:pPr>
            <w:r>
              <w:rPr>
                <w:rFonts w:ascii="Times New Roman" w:cs="Times New Roman" w:eastAsia="Times New Roman" w:hAnsi="Times New Roman"/>
                <w:sz w:val="18"/>
                <w:szCs w:val="18"/>
                <w:b w:val="1"/>
                <w:bCs w:val="1"/>
                <w:color w:val="auto"/>
              </w:rPr>
              <w:t>12 Months Ended</w:t>
            </w:r>
          </w:p>
        </w:tc>
        <w:tc>
          <w:tcPr>
            <w:tcW w:w="0" w:type="dxa"/>
            <w:vAlign w:val="bottom"/>
          </w:tcPr>
          <w:p>
            <w:pPr>
              <w:spacing w:after="0"/>
              <w:rPr>
                <w:sz w:val="1"/>
                <w:szCs w:val="1"/>
                <w:color w:val="auto"/>
              </w:rPr>
            </w:pPr>
          </w:p>
        </w:tc>
      </w:tr>
      <w:tr>
        <w:trPr>
          <w:trHeight w:val="223"/>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Consulting services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14,561</w:t>
            </w: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16,200</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sales</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including inventory obsolescence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964,217</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14,118,014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5,769,604</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6,608</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187,133</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148,192</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FFFFFF"/>
              </w:rPr>
              <w:t>Total operating expenses</w:t>
            </w:r>
          </w:p>
        </w:tc>
        <w:tc>
          <w:tcPr>
            <w:tcW w:w="1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14,308,066</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5,927,947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FROM OPERATIONS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(14,233,066)</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(6,861,403)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Royalties and licensing fees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(413,124)</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(2,294,883)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Licensing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198,910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Write Down of Assets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783,786</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(2,294,883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(13,449,280)</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(9,156,286)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 (BENEFIT)</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(13,449,280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(9,156,286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 share, basic and fully diluted</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32,400,101</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18,089,441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48" w:name="page149"/>
    <w:bookmarkEnd w:id="148"/>
    <w:p>
      <w:pPr>
        <w:jc w:val="center"/>
        <w:ind w:left="340" w:right="2400"/>
        <w:spacing w:after="0" w:line="268" w:lineRule="auto"/>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HOLDINGS, INC CONSOLIDATED STATEMENTS OF STOCKHOLDERS' EQUITY (DEFICIT) Audited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8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92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TREASURY</w:t>
            </w: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ACCUMULATED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8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920" w:type="dxa"/>
            <w:vAlign w:val="bottom"/>
            <w:gridSpan w:val="4"/>
            <w:vMerge w:val="continue"/>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SUBSCRIBED</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AT DECEMBER</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14,607,200</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1,620</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5,762,414</w:t>
            </w:r>
          </w:p>
        </w:tc>
        <w:tc>
          <w:tcPr>
            <w:tcW w:w="12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(4,944,559)</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919,475</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31, 2019 (as restated)*</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0" w:type="dxa"/>
            <w:vAlign w:val="bottom"/>
            <w:gridSpan w:val="3"/>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1,588,800</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(297,949)</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(297,949)</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recapitalization</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4,335,000</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1,167,065</w:t>
            </w:r>
          </w:p>
        </w:tc>
        <w:tc>
          <w:tcPr>
            <w:tcW w:w="12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1,067,499</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4,647,840</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2,323,455</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2,323,920</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(9,156,287)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(9,156,287)</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AT DECEMBER</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25,178,840</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2,519</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8,954,985</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(14,100,846)</w:t>
            </w: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(5,143,343)</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31, 2020</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Recapitalization</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1,589,400</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(50,897)</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(50,897)</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(247,165)</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(247,165)</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7,569,824</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757</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10,135,743</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10,136,500</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2,095,000</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2,757,291</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2,757,501</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Warrants issued for services</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5,497,132</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5,497,132</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through</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694,000</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1,040,931</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1,041,000</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conversion of debt</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1,897,585</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1,897,585</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surrendered in payment</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(44,200)</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w:t>
            </w: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(88,396)</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(88,400)</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of debt</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(13,449,280)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(13,449,280)</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AT DECEMBER</w:t>
            </w: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31, 2021</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37,082,864</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3,550</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30,144,374</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line="199" w:lineRule="exact"/>
              <w:rPr>
                <w:sz w:val="20"/>
                <w:szCs w:val="20"/>
                <w:color w:val="auto"/>
              </w:rPr>
            </w:pPr>
            <w:r>
              <w:rPr>
                <w:rFonts w:ascii="Times New Roman" w:cs="Times New Roman" w:eastAsia="Times New Roman" w:hAnsi="Times New Roman"/>
                <w:sz w:val="12"/>
                <w:szCs w:val="12"/>
                <w:color w:val="auto"/>
              </w:rPr>
              <w:t>(247,165</w:t>
            </w:r>
            <w:r>
              <w:rPr>
                <w:rFonts w:ascii="Times New Roman" w:cs="Times New Roman" w:eastAsia="Times New Roman" w:hAnsi="Times New Roman"/>
                <w:sz w:val="22"/>
                <w:szCs w:val="22"/>
                <w:color w:val="auto"/>
                <w:vertAlign w:val="superscript"/>
              </w:rPr>
              <w:t>)</w:t>
            </w:r>
          </w:p>
        </w:tc>
        <w:tc>
          <w:tcPr>
            <w:tcW w:w="1340" w:type="dxa"/>
            <w:vAlign w:val="bottom"/>
            <w:gridSpan w:val="2"/>
            <w:shd w:val="clear" w:color="auto" w:fill="CCEEFF"/>
          </w:tcPr>
          <w:p>
            <w:pPr>
              <w:jc w:val="right"/>
              <w:ind w:right="160"/>
              <w:spacing w:after="0" w:line="199" w:lineRule="exact"/>
              <w:rPr>
                <w:sz w:val="20"/>
                <w:szCs w:val="20"/>
                <w:color w:val="auto"/>
              </w:rPr>
            </w:pPr>
            <w:r>
              <w:rPr>
                <w:rFonts w:ascii="Times New Roman" w:cs="Times New Roman" w:eastAsia="Times New Roman" w:hAnsi="Times New Roman"/>
                <w:sz w:val="12"/>
                <w:szCs w:val="12"/>
                <w:color w:val="auto"/>
              </w:rPr>
              <w:t>(27,550,126</w:t>
            </w:r>
            <w:r>
              <w:rPr>
                <w:rFonts w:ascii="Times New Roman" w:cs="Times New Roman" w:eastAsia="Times New Roman" w:hAnsi="Times New Roman"/>
                <w:sz w:val="22"/>
                <w:szCs w:val="22"/>
                <w:color w:val="auto"/>
                <w:vertAlign w:val="superscript"/>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2,350,634</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*Restated to reflect the retroactive impacts of the recapitalization on equity.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 consolidated financial statements.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49" w:name="page150"/>
    <w:bookmarkEnd w:id="149"/>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 INC CONSOLIDATED STATEMENTS OF CASH FLOWS 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gridSpan w:val="5"/>
          </w:tcPr>
          <w:p>
            <w:pPr>
              <w:jc w:val="right"/>
              <w:ind w:right="1141"/>
              <w:spacing w:after="0"/>
              <w:rPr>
                <w:sz w:val="20"/>
                <w:szCs w:val="20"/>
                <w:color w:val="auto"/>
              </w:rPr>
            </w:pPr>
            <w:r>
              <w:rPr>
                <w:rFonts w:ascii="Times New Roman" w:cs="Times New Roman" w:eastAsia="Times New Roman" w:hAnsi="Times New Roman"/>
                <w:sz w:val="18"/>
                <w:szCs w:val="18"/>
                <w:b w:val="1"/>
                <w:bCs w:val="1"/>
                <w:color w:val="auto"/>
              </w:rPr>
              <w:t>12 Months Ended</w:t>
            </w:r>
          </w:p>
        </w:tc>
      </w:tr>
      <w:tr>
        <w:trPr>
          <w:trHeight w:val="223"/>
        </w:trPr>
        <w:tc>
          <w:tcPr>
            <w:tcW w:w="7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100" w:type="dxa"/>
            <w:vAlign w:val="bottom"/>
          </w:tcPr>
          <w:p>
            <w:pPr>
              <w:spacing w:after="0"/>
              <w:rPr>
                <w:sz w:val="19"/>
                <w:szCs w:val="19"/>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(13,449,280)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(9,156,286)</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 by operating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447,413</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323,428</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loss of licensing right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708,333</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Forgiveness of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(160,095)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termination of licensing agreement (in exchange for convertible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for non-employee services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2,757,501</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2,323,920</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Warrants issued for services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5,497,132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1,897,585</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decrease in: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21,786</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(14,907)</w:t>
            </w:r>
          </w:p>
        </w:tc>
      </w:tr>
      <w:tr>
        <w:trPr>
          <w:trHeight w:val="216"/>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 of use asset/liability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(27,322)</w:t>
            </w:r>
          </w:p>
        </w:tc>
      </w:tr>
      <w:tr>
        <w:trPr>
          <w:trHeight w:val="216"/>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(1,578,145)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1,474,566</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(424,020)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732,146</w:t>
            </w:r>
          </w:p>
        </w:tc>
      </w:tr>
      <w:tr>
        <w:trPr>
          <w:trHeight w:val="230"/>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500,000</w:t>
            </w:r>
          </w:p>
        </w:tc>
      </w:tr>
      <w:tr>
        <w:trPr>
          <w:trHeight w:val="210"/>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(4,489,440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(3,136,122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license right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7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77,595</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1,227,500</w:t>
            </w: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notes payable, related parties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854,000</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(1,700,000)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notes payable, related parties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debt as part of merger/rec</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(50,897)</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Treasury shares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(247,165)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cash</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10,136,500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1,067,499</w:t>
            </w:r>
          </w:p>
        </w:tc>
      </w:tr>
      <w:tr>
        <w:trPr>
          <w:trHeight w:val="230"/>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for stock subscription</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8,216,033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2,898,999</w:t>
            </w:r>
          </w:p>
        </w:tc>
        <w:tc>
          <w:tcPr>
            <w:tcW w:w="100" w:type="dxa"/>
            <w:vAlign w:val="bottom"/>
            <w:tcBorders>
              <w:bottom w:val="single" w:sz="8" w:color="CCEEFF"/>
            </w:tcBorders>
          </w:tcPr>
          <w:p>
            <w:pPr>
              <w:spacing w:after="0"/>
              <w:rPr>
                <w:sz w:val="18"/>
                <w:szCs w:val="18"/>
                <w:color w:val="auto"/>
              </w:rPr>
            </w:pPr>
          </w:p>
        </w:tc>
      </w:tr>
      <w:tr>
        <w:trPr>
          <w:trHeight w:val="209"/>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1,976,593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(237,123)</w:t>
            </w:r>
          </w:p>
        </w:tc>
        <w:tc>
          <w:tcPr>
            <w:tcW w:w="100" w:type="dxa"/>
            <w:vAlign w:val="bottom"/>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202,965</w:t>
            </w:r>
          </w:p>
        </w:tc>
        <w:tc>
          <w:tcPr>
            <w:tcW w:w="1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440,088</w:t>
            </w:r>
          </w:p>
        </w:tc>
      </w:tr>
      <w:tr>
        <w:trPr>
          <w:trHeight w:val="223"/>
        </w:trPr>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2,179,558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(refunded)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 Coeptis Pharmaceuticals, LLC (LLC) was formed in July 12, 2017 as a Pennsylvania multi-member limited liability company.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 2018, the members of LLC contributed their interest to a newly formed corporation, Coeptis Pharmaceuticals, Inc (“Coeptis”). As of December 1, 2018, the LLC became a disregarded single-member limited liability company which is wholly owned by the newly formed corporation. On February 12, 2021, Vinings Holdings, Inc., a Delaware corporation (“Vinings”), merged (the “Merger”) with and into Coeptis Pharmaceuticals, Inc. On July 12, 2021, the company has legally changed its name from Vinings Holdings, Inc. to Coeptis Therapeutics, Inc. Coeptis was the surviving corporation of that Merger. As a result of the Merger, Vinings acquired the business of Coeptis and will continue the existing business operations of Coeptis as a wholly owned subsidiary. The Merger was treated as a recapitalization of the Company for financial accounting purposes. The historical financial statements of Vinings, before the Merger, except for it’s capital structure as the surviving corporation, were replaced with the historical financial statements of Coeptis before the Merger in all future filings with the Securities and Exchange Commission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located in Wexford, PA, and engages primarily in the acquisition, development, and commercialization of pharmaceutical products.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accompanying audited financial statements have been prepared in accordance with accounting principles generally accepted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of America (“GAAP”) for financial information and with the instructions to Form 10-K Accordingly, they include all of the information and notes required by generally accepted accounting principles in the United States of America for complete financial statements. In the opinion of the Company’s management, any adjustments contained in the accompanying audited consolidated financial statements are of a normal recurring nature, and are necessary to fairly present the financial position of the Company as of December 31, 2021.</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Merger, the financial statements included in this report reflect (1) the historical operating results of Coeptis prior to the Merger; (2) the combined results of the Company and Coeptis following the closing of the Merger; (3) the assets and liabilities of Coeptis at their historical cost; and (4) the Company’s equity structure for all periods presented.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 </w:t>
      </w:r>
      <w:r>
        <w:rPr>
          <w:rFonts w:ascii="Times New Roman" w:cs="Times New Roman" w:eastAsia="Times New Roman" w:hAnsi="Times New Roman"/>
          <w:sz w:val="18"/>
          <w:szCs w:val="18"/>
          <w:color w:val="auto"/>
        </w:rPr>
        <w:t>The accompanying audited consolidated financial statements include the accounts of Coeptis Therapeutics Inc., Coeptis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Pharmaceuticals, Inc. and its wholly-owned subsidiary, Coeptis Pharmaceuticals, LLC. All material intercompany accounts, balances and transactions have been eliminated.</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Risks and Uncertainties </w:t>
      </w:r>
      <w:r>
        <w:rPr>
          <w:rFonts w:ascii="Times New Roman" w:cs="Times New Roman" w:eastAsia="Times New Roman" w:hAnsi="Times New Roman"/>
          <w:sz w:val="18"/>
          <w:szCs w:val="18"/>
          <w:color w:val="auto"/>
        </w:rPr>
        <w:t>– In late 2019, an outbreak of a novel strain of the Coronavirus 2019 Disease (COVID-19) was identified and infections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found in a number of countries around the world, including the United States. COVID-19 and its impact on trade including customer demand, travel, employee productivity, supply chain, and other economic activities has had, and may continue to have, a potentially significant effect on financial markets and business activity. The extent of the impact of COVID-19 on the Company’s operational and financial performance is currently uncertain and cannot be predicted.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For purposes of the statement of cash flows, the Company considers all highly liquid investments purchased with maturities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three months or less to be cash equivalents. At times, balances of cash and cash equivalents at financial banking institutions exceeded the federally insured limit of $250,000. The Company regularly monitors the financial condition of the institutions in which it has depository accounts and believes the risk of loss is minimal.</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Inventory </w:t>
      </w:r>
      <w:r>
        <w:rPr>
          <w:rFonts w:ascii="Times New Roman" w:cs="Times New Roman" w:eastAsia="Times New Roman" w:hAnsi="Times New Roman"/>
          <w:sz w:val="18"/>
          <w:szCs w:val="18"/>
          <w:color w:val="auto"/>
        </w:rPr>
        <w:t>– Inventories consisted primarily of finished goods that are packaged pharmaceutical products, as well as a small amount of raw materials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development of pharmaceutical drug products, and are accounted for using the specific cost method. At December 31, 2021 the company held no inventory. At December 31, 2020, inventory on the books was fully impaired due to uncertainty about salability.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Fixed assets are stated at cost and depreciation is computed using the accelerated and straight-line method for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purposes over estimated useful lives of between five and forty years. Intangibles are being amortized using the straight-line method over estimated useful lives of five years. For the year ended December 31, 2021 and 2020, depreciation expense totaled $2,546 and $1,925 respectively.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 </w:t>
      </w:r>
      <w:r>
        <w:rPr>
          <w:rFonts w:ascii="Times New Roman" w:cs="Times New Roman" w:eastAsia="Times New Roman" w:hAnsi="Times New Roman"/>
          <w:sz w:val="18"/>
          <w:szCs w:val="18"/>
          <w:color w:val="auto"/>
        </w:rPr>
        <w:t>Research and development costs are expensed when incurred. During the year ended December 31, 2021 and 2020,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development expenses totaled $0 and $3,543, respectively.</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Impairment - </w:t>
      </w:r>
      <w:r>
        <w:rPr>
          <w:rFonts w:ascii="Times New Roman" w:cs="Times New Roman" w:eastAsia="Times New Roman" w:hAnsi="Times New Roman"/>
          <w:sz w:val="18"/>
          <w:szCs w:val="18"/>
          <w:color w:val="auto"/>
        </w:rPr>
        <w:t>The Company’s property and equipment are reviewed for possible impairment when events or changes in circumstances indicate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amount may not be recoverable. An impairment loss would be recognized if and when the estimated future cash flows expected to result from the use of the asset and its eventual disposition is less than its carrying amount. For the year ended December 31, 2021 and 2020, the Company identified impairment losses related to its license agreement totaling $0 and $708,333, respectively.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Income taxes are provided for the tax effects of transactions reported in the financial statements and consist of taxes currently due 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taxes related primarily to temporary differences between reporting of income and expenses for financial reporting purposes and income tax purposes. The deferred tax assets and liabilities represent the future tax return consequences of those differences, which will either be taxable or deductible when the assets and liabilities are recovered or settled. Deferred taxes also are recognized for operating losses that are available to offset future federal income taxes.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Income Taxes Topic of FASB ASC clarifies the accounting and reporting for uncertainties in income tax law within subtopic FASB ASC 740-10-25-5. The guidance prescribes a comprehensive model for the financial statement recognition, measurement, presentation, and disclosure of uncertain tax positions taken or expected to be taken in income tax returns. Management believes that there is no liability related to uncertain tax positions on year ended December 31, 2021 and 2020.</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generally accepted accounting principles requires management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Adoption of New Accounting Pronouncements </w:t>
      </w:r>
      <w:r>
        <w:rPr>
          <w:rFonts w:ascii="Times New Roman" w:cs="Times New Roman" w:eastAsia="Times New Roman" w:hAnsi="Times New Roman"/>
          <w:sz w:val="18"/>
          <w:szCs w:val="18"/>
          <w:color w:val="auto"/>
        </w:rPr>
        <w:t>– In December 2019, the FASB issued ASU 2019-12, “Income Taxes (Topic 740): Simplifying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for Income Taxes”. ASU 2019-12 simplifies the accounting for income taxes by removing certain exceptions to the general principals in Topic</w:t>
      </w:r>
    </w:p>
    <w:p>
      <w:pPr>
        <w:spacing w:after="0" w:line="1" w:lineRule="exact"/>
        <w:rPr>
          <w:sz w:val="20"/>
          <w:szCs w:val="20"/>
          <w:color w:val="auto"/>
        </w:rPr>
      </w:pPr>
    </w:p>
    <w:p>
      <w:pPr>
        <w:jc w:val="both"/>
        <w:ind w:firstLine="8"/>
        <w:spacing w:after="0" w:line="253" w:lineRule="auto"/>
        <w:tabs>
          <w:tab w:leader="none" w:pos="3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also improve consistent application of and simplify generally accepted accounting principles (GAAP) for other areas of Topic 740 by clarifying and amending the existing guidance. For public business entities, the guidance is effective for annual periods, and interim periods within those annual periods, beginning after December 15, 2020. Early adoption is permitted, including adoption in any interim period. The adoption of this standard, effective January 1, 2021, did not have a material impact on these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and 2020, there were several other new accounting pronouncements issued by the FASB,. Each of these pronouncements, as applicable, has been or will be adopted by the Company. Management does not believe the adoption of any of these accounting pronouncements has had or will have a material impact on the Company’s financial statements.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The Company derived its revenue in 2020 from licensing and sales of product, and in 2021 primarily from consulting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are recognized when services are provided to its customers or the product is sold, in an amount that reflects the consideration the Company expects to be entitled to in exchange for those services or goods. Sales and other taxes the Company collects concurrent with revenue-producing activities are excluded from revenue. Incidental items that are immaterial in the context of the contract are recognized as expense. The amount received for consulting services for year ended December 31, 2021 and 2020 was $75,000 and $14,561 respectively. The amount received for licensing was $0 for the year ended December 31, 2021, and $500,000 for the year ended December 31, 2020, of which the entire amount was deferred. See Note 7 for discussion on these royalties advances. The amounts received for product sales for the year ended December 31, 2021 and 2020 were $0 and $16,200.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recognized at a point in time based on the transfer of control. Revenue recognized over time primarily consists of performance obligations that are satisfied within one year or less. In addition, the majority of the Company’s contracts do not contain variable considering and contract modifications are generally minimal. For these reasons, there is not a significant impact as a result of electing these transition practical expedients.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the Company’s revenue arrangement generally consist of a single performance obligation to transfer promised goods or services.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Accounts Receivable – </w:t>
      </w:r>
      <w:r>
        <w:rPr>
          <w:rFonts w:ascii="Times New Roman" w:cs="Times New Roman" w:eastAsia="Times New Roman" w:hAnsi="Times New Roman"/>
          <w:sz w:val="18"/>
          <w:szCs w:val="18"/>
          <w:color w:val="auto"/>
        </w:rPr>
        <w:t>Accounts receivable consists of consulting revenues. The Company records an allowance for doubtful accounts to allow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that may not be recoverable, which is based on an analysis of the Company’s prior collection experience, customer credit worthiness, and current economic trends. Accounts are considered delinquent when payments have not been received within the agreed upon terms and are written off when management determines that collection is not probable.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Earnings Per Share – </w:t>
      </w:r>
      <w:r>
        <w:rPr>
          <w:rFonts w:ascii="Times New Roman" w:cs="Times New Roman" w:eastAsia="Times New Roman" w:hAnsi="Times New Roman"/>
          <w:sz w:val="18"/>
          <w:szCs w:val="18"/>
          <w:color w:val="auto"/>
        </w:rPr>
        <w:t>Basic earnings per share (or loss share), is computed by dividing the earnings (loss) for the period by the weighted average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shares outstanding for the period. Diluted earnings per share reflects potential dilution of securities by including other potentially issuable shares of common stock, including shares issuable upon conversion of convertible securities or exercise of outstanding stock options and warrants, in the weighted average number of common shares outstanding for the period. Therefore, because including shares issuable upon conversion of convertible securities and/or exercise of outstanding options and warrants would have an anti-dilutive effect on the loss per share, only the basic earnings (loss) per share is reported in the accompanying financial statements. The Company does not have other potentially issuable shares of stock.</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Going Concern – </w:t>
      </w:r>
      <w:r>
        <w:rPr>
          <w:rFonts w:ascii="Times New Roman" w:cs="Times New Roman" w:eastAsia="Times New Roman" w:hAnsi="Times New Roman"/>
          <w:sz w:val="18"/>
          <w:szCs w:val="18"/>
          <w:color w:val="auto"/>
        </w:rPr>
        <w:t>The accompanying financial statements have been prepared in conformity with generally accepted accounting principles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American (GAAP), which contemplate continuation of the Company as a going concern, which is dependent upon the Company’s ability to obtain sufficient financials or establish itself as a profitable business. As of the year ended December 31, 2021 and 2020, the Company had accumulated deficit of $27,550,126 and $14,100,846, respectively. These conditions raise substantial doubt about the Company’s ability to continue as a going concern. Management’s plans with respect to operations include the sustained and aggressive developing and marketing of pharmaceutical products both domestically and abroad, and raising additional capital through sales of equity or debt securities as may be necessary to pursue its business plans and sustain operations until such time as the Company can achieve profitability. Management believes that aggressive marketing combined with additional financing as necessary will result in improved operations and cash flow. However, there can be no assurance that management will be successful in obtaining additional funding or in attaining profitable operations.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 </w:t>
      </w:r>
      <w:r>
        <w:rPr>
          <w:rFonts w:ascii="Times New Roman" w:cs="Times New Roman" w:eastAsia="Times New Roman" w:hAnsi="Times New Roman"/>
          <w:sz w:val="18"/>
          <w:szCs w:val="18"/>
          <w:color w:val="auto"/>
        </w:rPr>
        <w:t>The Company calculates the fair value of its assets and liabilities which qualify as financial instruments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this additional information in the notes to the financial statements when the fair value is different than the carrying value of those financial instruments. The methods and assumptions applied in determining the fair value of each class of financial assets and financial liabilities of the Company are disclosed in the respective accounting policies. The estimated fair value of cash, accounts receivable and accounts and note payable approximate their carrying amounts due to the short-term nature of these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LICENSE RIGHT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2019, the Company entered into an agreement with a foreign entity to market, distribute, and sell the Consensi product (Product) on an exclusive basis within the United States and Puerto Rico. Upon execution of the Agreement the Company paid $1,000,000 to the foreign entity. Milestone payments were due as follows; (1) $1,500,000 upon completion of the CMC Plan as reimbursements of costs incurred by the foreign entity, (2) $1,000,000 was due upon first commercial sale of the Product which occurred in June 2020. Milestones were not met during the year ended December 31, 2021 and 2020. As of December 31, 2020, $500,000 of the remaining payment above was still unpaid and reflected in ‘accounts payable’ in the accompanying consolidated balance sheet.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2020, the Company determined that there was a reduction of the useful life, resulting in an impairment charge of $708,333. For the year ended December 31, 2021 and 2020, amortization expense related to the license right totaled $0 and $291,667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of 2021, the Company executed a license termination agreement with the foreign entity to cease all efforts for sales and promotion of the product in the United States and Puerto Rico. The termination included issuance of $1,500,000 of convertible debt due in 2023 to satisfy amounts owed for the license, issue of warrants (See NOTE 5) and transfer of inventory ownership back to the foreign entity. In conjunction with this termination, the Company also terminated its marketing agreement with a third party for the Product’s sales and promotion.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2021, the Company and VyGen-Bio, Inc. (“Vy-Gen”) entered into agreements to jointly develop and commercialize two Vy-Gen product candidates, CD38-GEAR-NK and CD38-Diagnostic (the “CD38 Assets”). The Company paid $1,750,000 and issued promissory notes totaling $3,250,000 to Vy-Gen in accordance with the agreements. The collaboration arrangement provides the right for the Company to participate in the development and commercialization of the CD38 Assets and a 50/50 profit share, with the profit share subject to contingent automatic downward adjustment up to 25% upon an event of default in connection with the promissory notes. The Company capitalized $5,000,000 to be amortized over a five-year period in which the CD38 Assets are expected to contribute to future cash flows. For the year ended December 31, 2021 and 2020, amortization expense related to the agreements totaled $445,833 and $0, respectively. As of December 31, 2021, the balance due under the two promissory notes totaled $1,750,000 which matures on March 31, 2022.</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LONG-TERM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note payable agreement with an unrelated company with a conversion option. The principal amount of $200,000, which is unsecured, together with interest at 9% was due June 15, 2020. In lieu of cash repayment, the outstanding principal amount of the note, plus all accrued unpaid interest may be converted at the option of the party, in whole or in part, into shares of Common Stock. As of the December 31, 2020, the note had a balance of $200,000. The note and accrued interest were paid in full in the first quarter of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$500,000, which is secured by a security agreement, together with interest at 8%, plus additional 2% in the event of default, was due February 8, 2021. The balance of the note is $500,000 as of December 31, 2021 and 2020. This debt is currently in default.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 related party stockholder. The principal amount of $250,000, which is secured by a security agreement, together with interest at 8%, plus additional 2% in the event of default, was due February 8, 2021. This debt was converted to equity in June 2021. The balance of the note was $0 and $250,000 as of December 31, 2021 and 2020,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another Senior Secured Note agreement with a stockholder. The principal amount of $250,000, which is secured by a security agreement, together with interest at 8%, plus additional 2% in the event of default, was due February 8, 2021. This debt was converted to equity in June 2021. The balance of the note is $0 and $250,000 as of as of December 31, 2021 and 2020,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$333,000, which is secured by a security agreement, together with interest at 8%, plus additional 2% in the event of default, was due February 8, 2021. This debt was converted to equity in June 2021. The balance of the note was $0 and $333,000 as of December 31, 2021 and 2020,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$167,000, which is secured by a security agreement, together with interest at 8%, plus additional 2% in the event of default, was due February 8, 2021. The balance of the note is $167,000 as of as of December 31, 2021 and 2020. This debt is currently in default.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2020, the Company entered a non-interest bearing, unsecured note agreement with two shareholders for $104,000 with an unspecified due date. The note was converted to equity in June 2021. The balance was $0 and $104,000 as of December 31, 2021, and 2020, respectively. </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2021, as part of a termination of license agreement with Purple BioTech (See Note 7), the Company issued a convertible note in the principal amount of $1,500,000 that is payable on or before February 2023, bearing interest of 5% per annum and convertible in whole or in part at any time by Purple BioTech into shares of Coeptis’ common stock. The conversion price is $5 per share of common stock, subject to certain adjustments under such terms and conditions as agreed between the parties. Coeptis may prepay the principal amount of the Note plus accrued and unpaid interest at any time, prior to the Maturity Date. Inventory, which has been fully written-off on the Company’s balance sheet, will be transferred back to Purple at Purple’s cost.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accrued on the related party notes at December 31, 2021 and 2020 was $0 and $40,000, respectively.</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Loans under the CARES Act </w:t>
      </w:r>
      <w:r>
        <w:rPr>
          <w:rFonts w:ascii="Times New Roman" w:cs="Times New Roman" w:eastAsia="Times New Roman" w:hAnsi="Times New Roman"/>
          <w:sz w:val="18"/>
          <w:szCs w:val="18"/>
          <w:color w:val="auto"/>
        </w:rPr>
        <w:t>-- On May 6, 2020, the Company received loan proceeds in the amount of approximately $77,500 under the Paycheck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Program (“PPP”). The PPP, established as part of the Coronavirus Aid, Relief and Economic Security Act (“CARES Act”),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and maintains its payroll levels. In February 2021, an additional $77,595 was received by the Company under the second round of PPP (“PPP2”). The Company has used the proceeds for purposes consistent with its intended use. Both the PPP and the PPP2 loans were forgiven in full, along with accrued interest, during 2021. The balance of the notes was $0 and $77,500 as of December 31, 2021 and 2020,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8, 2020, the Company received a loan of $150,000 from the from the United States Small Business Administration (the “SBA”) under its Economic Injury Disaster Loan (“EIDL”) assistance program in light of the impact of the COVID-19 pandemic on the Company’s business. Proceeds are intended to be used for working capital purposes. Interest on the EIDL Loan accrues at the rate of 3.75% per annum and installment payments, including principal and interest, are due monthly beginning twelve months from the date of the EIDL Loan in the amount of $731. The date of the EIDL Loan being July 31, 2020, made the first monthly installment due on July 31, 2021. However, effective, March 26, 2021, the SBA announced a deferment of principal and interest for a 12-month period starting at the next installment due date, making the first monthly installment due on July 31, 2022. The balance of principal and interest is payable thirty years from the date of the promissory note. The balance of the loan is $150,000, as of December 31, 2021 and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long-term debt are as follows for the years ended December 31,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147,817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CAPITAL STRUCTURE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number of shares of stock which the corporation shall have authority to issue is 760,000,000 shares, of which 750,000,000 shares of $0.0001 par value shall be designated as Common Stock and 10,000,000 shares of $0.0001 shall be designated as Preferred Stock. The Preferred Stock authorized by these Articles of Incorporation may be issued in one or more series. The Board of Directors of the Corporation is authorized to determine or alter the rights, preferences, privileges, and restrictions granted or imposed upon any wholly unissued series of Preferred Stock, and within the limitations or restrictions stated in any resolution or resolutions of the Board of Directors originally fixing the number of shares constituting any series, to increase or decrease (but not below the number of shares of any such series then outstanding) the number of shares of any such series subsequent to the issue of shares of that series, to determine the designation and par value of any series and to fix the numbers of shares of any series.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Common Stock - </w:t>
      </w:r>
      <w:r>
        <w:rPr>
          <w:rFonts w:ascii="Times New Roman" w:cs="Times New Roman" w:eastAsia="Times New Roman" w:hAnsi="Times New Roman"/>
          <w:sz w:val="18"/>
          <w:szCs w:val="18"/>
          <w:color w:val="auto"/>
        </w:rPr>
        <w:t>As of December 31, 2021 the Company had 37,082,864 shares of its common stock issued and 36,754,064 outstanding, and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2020 the Company had 26,768,240 shares of its common stock issued and outstanding. All references to the common shares outstanding have been retroactively adjusted to reflect the stock splits unless stated otherwise.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and 2020, the Company raised capital by issuance of common stock above the stated par value. The contributed capital recognized as additional paid in capital during the year ended December 31, 2021 and 2020 was $10,135,743 and $1,167,065 respectively. During the year ended December, 31 2021 and 2020, there were $0 in capital distributions.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Treasury Stock – </w:t>
      </w:r>
      <w:r>
        <w:rPr>
          <w:rFonts w:ascii="Times New Roman" w:cs="Times New Roman" w:eastAsia="Times New Roman" w:hAnsi="Times New Roman"/>
          <w:sz w:val="18"/>
          <w:szCs w:val="18"/>
          <w:color w:val="auto"/>
        </w:rPr>
        <w:t>As part of the Merger in February of 2021, the Company repurchased 328,800 shares of its common stock previously held by Vinings’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The stock was recorded at the cost paid for it, of $247,165 and held as Treasury stock for the duration of 2021. Subsequent to year end, the Company retired the 328,800 shares of Treasury Stock, as of February 18, 2022.</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additional 44,200 shares of common stock were repurchased at cost from a former marketing partner in exchange for a cancellation of an outstanding debt. The shares were immediately cancelled. </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Series A Preferred Stock - </w:t>
      </w:r>
      <w:r>
        <w:rPr>
          <w:rFonts w:ascii="Times New Roman" w:cs="Times New Roman" w:eastAsia="Times New Roman" w:hAnsi="Times New Roman"/>
          <w:sz w:val="18"/>
          <w:szCs w:val="18"/>
          <w:color w:val="auto"/>
        </w:rPr>
        <w:t>As of April 30, 2019, the Series A Preferred Stock had been canceled, and no shares remain outstanding. The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privileges of future issuances of the Series A Preferred stock will be determined at such time if and when they are issued. As of December 31, 2021, there were 0 shares of Series A Preferred outstanding.</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Series B Convertible Preferred Stock - </w:t>
      </w:r>
      <w:r>
        <w:rPr>
          <w:rFonts w:ascii="Times New Roman" w:cs="Times New Roman" w:eastAsia="Times New Roman" w:hAnsi="Times New Roman"/>
          <w:sz w:val="18"/>
          <w:szCs w:val="18"/>
          <w:color w:val="auto"/>
        </w:rPr>
        <w:t>The Company designated 2,000,000 shares of Series B Convertible Preferred Stock with a par value of $0.0001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Initially, there will be no dividends due or payable on the Series B Preferred Stock. Any future terms with respect to dividends shall be determined by the Board consistent with the Corporation’s Certificate of Incorporation. Any and all such future terms concerning dividends shall be reflected in an amendment to this Certificate, which the Board shall promptly file or cause to be filed.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shares of the Series B Preferred Stock shall rank (i) senior to the Corporation’s Common Stock and any other class or series of capital stock of the Corporation hereafter created, (ii) pari passu with any class or series of capital stock of the Corporation hereafter created and specifically ranking, by its terms, on par with the Series B Preferred Stock and (iii) junior to any class or series of capital stock of the Corporation hereafter created specifically ranking, by its terms, senior to the Series B Preferred Stock, in each case as to distribution of assets upon liquidation, dissolution or winding up of the Corporation, whether voluntary or involuntary.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B Preferred shall have no liquidation preference over any other class of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outstanding shares of Series B Preferred Stock shall be entitled to the number of votes equal to equal to one thousand (1,000) Common Shares. Except as provided by law, or by the provisions establishing any other series of Preferred Stock, holders of Series B Preferred Stock and of any other outstanding series of Preferred Stock shall vote together with the holders of Common Stock as a single class.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shares of Series B Preferred Stock may, at any time and from time to time, convert (an “Optional Conversion”) each of its shares of Series B Preferred Stock into a 1,000 of fully paid and nonassessable shares of Common Stock; provided, however, that any Optional Conversion must involve the issuance of at least 100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 reverse split, the conversion ratio shall not be changed. However, in the event a forward split shall occur then the conversion ratio shall be modified to be increased by the same ratio as the forward split.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the Series B Preferred Stock in accordance with ASC 815 and has determined their conversion options were for equity and ASC 815 did not apply as of December 31, 2021. The Company has evaluated the Series B Preferred Stock in accordance with FASB ASC Subtopic 47020 and has determined that there is no beneficial conversion feature that must be accounted for as of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there were 8,000 shares of Series B Preferred outstanding.</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Common Stock Warrants - </w:t>
      </w:r>
      <w:r>
        <w:rPr>
          <w:rFonts w:ascii="Times New Roman" w:cs="Times New Roman" w:eastAsia="Times New Roman" w:hAnsi="Times New Roman"/>
          <w:sz w:val="18"/>
          <w:szCs w:val="18"/>
          <w:color w:val="auto"/>
        </w:rPr>
        <w:t>On November 23, 2020, the Company issued a class A and a class B warrant to Coral Investment Partners, LP (“CIP”),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warrant granting CIP the right to purchase 500,000 shares of common stock at a price of $2.00 for Class A or $5.00 for Class B. The warrants expire on November 30, 2023. The warrants also contain a cashless exercise provision and contained anti-dilution provisions. The warrants remain outstanding as of December 31, 2021. In October 2021, the Company was notified by the warrant holder that they intend to exercise its right to purchase shares of the Company under these warrants. </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28, 2021, the Company issued a warrant to a third party in exchange for professional services, granting the warrant holder the right to purchase 500,000 shares of common stock at a price of $1.00 per share, 500,000 shares at $2.00 per share, and 500,000 at $5.00 per share. The warrants expire on June 1, 2026. All warrants were outstanding on December 31, 2021. The warrants were valued using the Black-Scholes option pricing model using the following assumptions: 1) exercise prices of $1.00, $2.00 and $5.00 per share, 2) fair value of $5.00 per share, 3) discount rate of 0.79%, 3) dividend rate of 0%, and 4) a term of 5 years.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30th, 2021, the Company issued a warrant to a third party in exchange for professional services, granting the warrant holder the right to purchase 200,000 shares of common stock at a price of $1.00 per share, 100,000 shares at $2.00 per share, and 100,000 at $5.00 per share. The warrants expire on July 26, 2026. All warrants were outstanding on December 31, 2021. The warrants were valued using the Black-Scholes option pricing model using the following assumptions: 1) exercise prices of $1.00, $2.00 and $5.00 per share, 2) fair value of $4.70 per share, 3) discount rate of 0.69%, 3) dividend rate of 0%, and 4) a term of 5 years.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22, 2021, the Company issued a warrant in conjunction with the termination of the license right (see Note 3) with Purple Biotech, granting Purple Biotech the right to purchase 300,000 shares of common stock at $5 per share, subject to certain adjustments. During 2021, the Company recorded $1,897,585 as general and administrative expense in condensed consolidated statement of operations upon immediate vesting of the Warrant. The warrant was valued using the Black-Scholes option pricing model using the following assumptions: 1) exercise price of $5.00 per share, 2) fair value of $6.50 per share, 3) discount rate of 0.48%, 3) dividend rate of 0%, and 4) a term of 3 years.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20, 2021, the Company granted a warrant to a third party in exchange for services to be provided, conditionally giving the warrant holder the right to purchase 600,000 shares of common stock at a price of $1.00 per share upon performance by The Company. The conditions include three vesting milestones related to the successful filing any S-1 or comparable registration statement, registration effectiveness, and the close of capital raise and uplist to a national exchange. The warrants expire on December 20, 2026.</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ASSET PURCHASE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2019, the Company entered into an Asset Purchase Agreement with ANI Pharmaceuticals, Inc. (ANI) for the sale of certain intellectual property and materials related to the research and development related to potential ANDA candidates. The Company recognized revenue of approximately $2,300,000 related to the Asset Purchase Agreement in the year ended December 31, 2019.</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original purchase price, the Company is due an additional $2,000,000 with respect to the Product that is Vigabatrin 500mg tablets (tablets) as follows; (A) $250,000 within 30 days following the completion of all bioequivalence studies related to tablets, (B) $250,000 within 45 days of the first date on which annual gross profit from the sale of tablets reaches $1,000,000 in a calendar year, (C) $500,000 within 45 days of the first date on which annual gross profit from the sale of tablets reaches $5,000,000 in a calendar year, (D) $1,000,000 within 45 days of the first date on which annual gross profit from the sale of tablets reaches $10,000,000 in a calendar year. As of Year Ended December 31, 2021 and 2020, and through this date, none of these milestones have occurred. Because collection of these milestone payments is not reasonably assured, we have not recorded any revenues in the accompanying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the Company is due an additional $1,750,000 with respect to the Product that is Vigabatrin 500mg powder for Oral Solution (powder) as follows; (A) $250,000 within 45 days of the first date on which annual gross profit from the sale of powder reaches $1,000,000 in a calendar year, (B) $500,000 within 45 days of the first date on which annual gross profit from the sale of powder reaches $5,000,000 in a calendar year, (C) $1,000,000 within 45 days of the first date on which annual gross profit from the sale of powder reaches $10,000,000 in a calendar year. As of year Ended December 31, 2021 and 2020, and through this date, none of these milestones have occurred. Because collection of these milestone payments is not reasonably assured, we have not recorded any revenues in the accompanying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leases office space under an operating lease commencing December 1, 2017 through November 30, 2019 and a first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extensions commending December 1, 2019 through May 31, 2020. The second lease extension extends the lease for twenty-four months, beginning on June 1, 2020 and ending on May 31, 2022. The monthly rent is $3,750. On January 1, 2019, the Company adopted ASC Topic 842, Leases, requiring this lease to be recorded as an asset and corresponding liability on its consolidated balance sheet. The Company records rent expense associated with this lease on the straight-line basis in conjunction with the terms of the underlying lease. During the year ended December 31, 2021 and 2020, rental expense totaled $45,000 and $34,125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rental payments required under the lease are as follows:</w:t>
      </w:r>
    </w:p>
    <w:p>
      <w:pPr>
        <w:spacing w:after="0" w:line="225" w:lineRule="exact"/>
        <w:rPr>
          <w:sz w:val="20"/>
          <w:szCs w:val="20"/>
          <w:color w:val="auto"/>
        </w:rPr>
      </w:pPr>
    </w:p>
    <w:p>
      <w:pPr>
        <w:ind w:left="1140"/>
        <w:spacing w:after="0"/>
        <w:tabs>
          <w:tab w:leader="none" w:pos="8660" w:val="left"/>
          <w:tab w:leader="none" w:pos="952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20, 2022, the Company entered into a third lease extension for twenty-four months beginning on June 1, 2022 and ending on May 31, 2024.</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 The company is currently not a defendant in any litigation or threatened litigation that could have a material effect on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Royalty Obligations - </w:t>
      </w:r>
      <w:r>
        <w:rPr>
          <w:rFonts w:ascii="Times New Roman" w:cs="Times New Roman" w:eastAsia="Times New Roman" w:hAnsi="Times New Roman"/>
          <w:sz w:val="18"/>
          <w:szCs w:val="18"/>
          <w:color w:val="auto"/>
        </w:rPr>
        <w:t>In connection with the product licensing agreement discussed in Note 3, the Company owed a minimum royalty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 following the first year of product sales. A minimum royalty amount was also due in subsequent years. This agreement was terminated and settled in 2021 as discussed in Note 4. As of December 31, 2021 and 2020, liabilities of $0 and $583,333, respectively, were recorded to reflect the minimum future royalty payments.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Royalty Advances </w:t>
      </w:r>
      <w:r>
        <w:rPr>
          <w:rFonts w:ascii="Times New Roman" w:cs="Times New Roman" w:eastAsia="Times New Roman" w:hAnsi="Times New Roman"/>
          <w:sz w:val="18"/>
          <w:szCs w:val="18"/>
          <w:color w:val="auto"/>
        </w:rPr>
        <w:t>- In the year ended December 31, 2021 and 2020, the Company received royalty advances on future product sales of $0 and $500,000,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from its pharmaceutical marketing partner. These cumulative advances were recorded as deferred revenue of $1,000,000 at December 31, 2020. In August 2021, the Company terminated its agreement with its marketing partner. As part of the termination settlement, the payments made to Coeptis as advance of royalty payments on product sales were deemed forfeited by the marketing partner, and to remain as payments to Coeptis for the licensing rights. As such, advances totaling $1,000,000 were recognized as licensing income in Other Income for the year ended December 31, 2021.</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8 - 401(k) PROFIT-SHARING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a qualified profit-sharing plan with a 401(k) feature that covers all eligible employees. Participation in the 401(k) feature of the plan is voluntary. Participating employees may defer up to 100% of their compensation up to the maximum prescribed by the Internal Revenue Code. The plan permits for employee elective deferrals but has no contribution requirements for the Company. During the Year Ended December 31, 2021 and 2020, no employer contributions were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CONCENTRATIONS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Major Customers – </w:t>
      </w:r>
      <w:r>
        <w:rPr>
          <w:rFonts w:ascii="Times New Roman" w:cs="Times New Roman" w:eastAsia="Times New Roman" w:hAnsi="Times New Roman"/>
          <w:sz w:val="18"/>
          <w:szCs w:val="18"/>
          <w:color w:val="auto"/>
        </w:rPr>
        <w:t>During the Year Ended December 31, 2021 and 2020, 100%, of revenues were earned from two clients. During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2021 and 2020, accounts receivable related to major clients was $0 and $21,786,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established deferred tax assets and liabilities for the recognition of future deductions or taxable amounts and operating loss carry forward. Deferred tax assets and liabilities for the recognition of future deductions or taxable amounts and operating loss carry forwards. Deferred federal and state income tax expense or benefit is recognized as a result of the change in the deferred tax asset or liability during the year using the currently enacted tax laws and rates that apply to the period in which they are expected to affect taxable income. Valuation allowances are established, if necessary, to reduce deferred tax assets to the amount that will more likely than not be realized.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2021 and 2020, a reconciliation of income tax expense at the statutory rate of 31% to income tax expense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effective tax rate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statutory rate</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(7,130,000)</w:t>
            </w:r>
          </w:p>
        </w:tc>
        <w:tc>
          <w:tcPr>
            <w:tcW w:w="38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(2,852,000)</w:t>
            </w:r>
          </w:p>
        </w:tc>
      </w:tr>
      <w:tr>
        <w:trPr>
          <w:trHeight w:val="209"/>
        </w:trPr>
        <w:tc>
          <w:tcPr>
            <w:tcW w:w="5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federal/state income taxes</w:t>
            </w:r>
          </w:p>
        </w:tc>
        <w:tc>
          <w:tcPr>
            <w:tcW w:w="27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year ended December 31, 2021, the Company has approximately $23,000,000 of unused net operating loss carry forwards. Unused net operating loss carry forwards may provide future benefits, although there can be no assurance that these net operating losses will be realized in the future. The tax benefits of these loss carry forwards have been fully offset by a valuation allowance. These losses may be used to offset future taxable income and will carry forward indefinitely.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20, 2022, the Company entered into a third lease extension for twenty-four months beginning on June 1, 2022 and ending on May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warrants to various shareholders giving them the right to purchase a total of 3,595,100 shares, with strike prices between $1 and $2. The warrants expire January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4, 2022, the Company filed Form S-1: General form for Registration of Securities with the SEC, to register its shares for re-sale on the open market.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COPETIS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0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00" w:type="dxa"/>
            <w:vAlign w:val="bottom"/>
          </w:tcPr>
          <w:p>
            <w:pPr>
              <w:spacing w:after="0"/>
              <w:rPr>
                <w:sz w:val="19"/>
                <w:szCs w:val="19"/>
                <w:color w:val="auto"/>
              </w:rPr>
            </w:pPr>
          </w:p>
        </w:tc>
      </w:tr>
      <w:tr>
        <w:trPr>
          <w:trHeight w:val="209"/>
        </w:trPr>
        <w:tc>
          <w:tcPr>
            <w:tcW w:w="304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2,378,295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2,179,558</w:t>
            </w:r>
          </w:p>
        </w:tc>
      </w:tr>
      <w:tr>
        <w:trPr>
          <w:trHeight w:val="209"/>
        </w:trPr>
        <w:tc>
          <w:tcPr>
            <w:tcW w:w="3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4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2,378,295</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2,179,558</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fixtures</w:t>
            </w: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25,237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25,237</w:t>
            </w:r>
          </w:p>
        </w:tc>
      </w:tr>
      <w:tr>
        <w:trPr>
          <w:trHeight w:val="230"/>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12,003</w:t>
            </w: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11,311</w:t>
            </w:r>
          </w:p>
        </w:tc>
      </w:tr>
      <w:tr>
        <w:trPr>
          <w:trHeight w:val="209"/>
        </w:trPr>
        <w:tc>
          <w:tcPr>
            <w:tcW w:w="3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fixtures, net</w:t>
            </w:r>
          </w:p>
        </w:tc>
        <w:tc>
          <w:tcPr>
            <w:tcW w:w="4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711"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Co-development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Right of use asset, net of accumulated amortization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4,054,166</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4,554,167</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77,950</w:t>
            </w: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w:t>
            </w:r>
          </w:p>
        </w:tc>
      </w:tr>
      <w:tr>
        <w:trPr>
          <w:trHeight w:val="210"/>
        </w:trPr>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4,132,116</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4,572,092</w:t>
            </w:r>
          </w:p>
        </w:tc>
      </w:tr>
      <w:tr>
        <w:trPr>
          <w:trHeight w:val="223"/>
        </w:trPr>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6,523,645</w:t>
            </w: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6,765,576</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680"/>
          </w:cols>
          <w:pgMar w:left="320" w:top="71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268,465</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134,092</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305,652</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199,126</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3,662,702</w:t>
            </w:r>
          </w:p>
        </w:tc>
        <w:tc>
          <w:tcPr>
            <w:tcW w:w="44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2,417,000</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related parties, current portion</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liability, current portion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19,451</w:t>
            </w:r>
          </w:p>
        </w:tc>
        <w:tc>
          <w:tcPr>
            <w:tcW w:w="44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14,724</w:t>
            </w:r>
          </w:p>
        </w:tc>
      </w:tr>
      <w:tr>
        <w:trPr>
          <w:trHeight w:val="210"/>
        </w:trPr>
        <w:tc>
          <w:tcPr>
            <w:tcW w:w="74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4,256,270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150,000</w:t>
            </w:r>
          </w:p>
        </w:tc>
        <w:tc>
          <w:tcPr>
            <w:tcW w:w="44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1,650,000</w:t>
            </w: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liability, non-current portion</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56,341</w:t>
            </w:r>
          </w:p>
        </w:tc>
        <w:tc>
          <w:tcPr>
            <w:tcW w:w="4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206,341</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100" w:type="dxa"/>
            <w:vAlign w:val="bottom"/>
            <w:tcBorders>
              <w:bottom w:val="single" w:sz="8" w:color="CCEEFF"/>
            </w:tcBorders>
          </w:tcPr>
          <w:p>
            <w:pPr>
              <w:spacing w:after="0"/>
              <w:rPr>
                <w:sz w:val="18"/>
                <w:szCs w:val="18"/>
                <w:color w:val="auto"/>
              </w:rPr>
            </w:pPr>
          </w:p>
        </w:tc>
      </w:tr>
      <w:tr>
        <w:trPr>
          <w:trHeight w:val="223"/>
        </w:trPr>
        <w:tc>
          <w:tcPr>
            <w:tcW w:w="7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4,462,611</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4,414,942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$0.0001 par value, 10,000,000 shares authorized, 8,000 and 8,000 shares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750,000,000 shares authorized, 39,012,897 shares issued and</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June 30, 2022, and 37,082,864 shares issued and 36,754,064 shares outstanding at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3,776</w:t>
            </w:r>
          </w:p>
        </w:tc>
        <w:tc>
          <w:tcPr>
            <w:tcW w:w="4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3,550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58,587,415</w:t>
            </w:r>
          </w:p>
        </w:tc>
        <w:tc>
          <w:tcPr>
            <w:tcW w:w="44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30,144,374</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subscribed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2,500</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328,800 shares at cost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(247,165)</w:t>
            </w:r>
          </w:p>
        </w:tc>
      </w:tr>
      <w:tr>
        <w:trPr>
          <w:trHeight w:val="210"/>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(56,532,658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(27,550,126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4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2,061,034</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2,350,634</w:t>
            </w:r>
          </w:p>
        </w:tc>
        <w:tc>
          <w:tcPr>
            <w:tcW w:w="100" w:type="dxa"/>
            <w:vAlign w:val="bottom"/>
            <w:tcBorders>
              <w:bottom w:val="single" w:sz="8" w:color="CCEEFF"/>
            </w:tcBorders>
          </w:tcPr>
          <w:p>
            <w:pPr>
              <w:spacing w:after="0"/>
              <w:rPr>
                <w:sz w:val="18"/>
                <w:szCs w:val="18"/>
                <w:color w:val="auto"/>
              </w:rPr>
            </w:pPr>
          </w:p>
        </w:tc>
      </w:tr>
      <w:tr>
        <w:trPr>
          <w:trHeight w:val="223"/>
        </w:trPr>
        <w:tc>
          <w:tcPr>
            <w:tcW w:w="7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6,523,645</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6,765,576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100" w:type="dxa"/>
            <w:vAlign w:val="bottom"/>
          </w:tcPr>
          <w:p>
            <w:pPr>
              <w:spacing w:after="0"/>
              <w:rPr>
                <w:sz w:val="20"/>
                <w:szCs w:val="20"/>
                <w:color w:val="auto"/>
              </w:rPr>
            </w:pPr>
          </w:p>
        </w:tc>
        <w:tc>
          <w:tcPr>
            <w:tcW w:w="2680" w:type="dxa"/>
            <w:vAlign w:val="bottom"/>
            <w:gridSpan w:val="6"/>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23"/>
        </w:trPr>
        <w:tc>
          <w:tcPr>
            <w:tcW w:w="5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7"/>
              </w:rPr>
              <w:t>June 30, 2022</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June 30, 2021</w:t>
            </w:r>
          </w:p>
        </w:tc>
        <w:tc>
          <w:tcPr>
            <w:tcW w:w="100" w:type="dxa"/>
            <w:vAlign w:val="bottom"/>
          </w:tcPr>
          <w:p>
            <w:pPr>
              <w:spacing w:after="0"/>
              <w:rPr>
                <w:sz w:val="19"/>
                <w:szCs w:val="19"/>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Consulting services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75,000</w:t>
            </w:r>
          </w:p>
        </w:tc>
      </w:tr>
      <w:tr>
        <w:trPr>
          <w:trHeight w:val="22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sales</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r>
      <w:tr>
        <w:trPr>
          <w:trHeight w:val="22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including inventory obsolescence</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9,744,977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2,580,971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25,460,292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4,318,408</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2,918</w:t>
            </w:r>
          </w:p>
        </w:tc>
      </w:tr>
      <w:tr>
        <w:trPr>
          <w:trHeight w:val="22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63,826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43,098</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119,644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77,823</w:t>
            </w:r>
          </w:p>
        </w:tc>
      </w:tr>
      <w:tr>
        <w:trPr>
          <w:trHeight w:val="210"/>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9,812,854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2,624,069</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25,583,988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4,399,149</w:t>
            </w:r>
          </w:p>
        </w:tc>
        <w:tc>
          <w:tcPr>
            <w:tcW w:w="100" w:type="dxa"/>
            <w:vAlign w:val="bottom"/>
            <w:tcBorders>
              <w:bottom w:val="single" w:sz="8" w:color="CCEEFF"/>
            </w:tcBorders>
          </w:tcPr>
          <w:p>
            <w:pPr>
              <w:spacing w:after="0"/>
              <w:rPr>
                <w:sz w:val="18"/>
                <w:szCs w:val="18"/>
                <w:color w:val="auto"/>
              </w:rPr>
            </w:pPr>
          </w:p>
        </w:tc>
      </w:tr>
      <w:tr>
        <w:trPr>
          <w:trHeight w:val="209"/>
        </w:trPr>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(9,812,854)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(2,624,069)</w:t>
            </w:r>
          </w:p>
        </w:tc>
        <w:tc>
          <w:tcPr>
            <w:tcW w:w="10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(25,583,988)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(4,324,149)</w:t>
            </w:r>
          </w:p>
        </w:tc>
      </w:tr>
      <w:tr>
        <w:trPr>
          <w:trHeight w:val="216"/>
        </w:trPr>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Royalties and licensing fees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(166,667)</w:t>
            </w:r>
          </w:p>
        </w:tc>
        <w:tc>
          <w:tcPr>
            <w:tcW w:w="10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(416,667)</w:t>
            </w:r>
          </w:p>
        </w:tc>
      </w:tr>
      <w:tr>
        <w:trPr>
          <w:trHeight w:val="22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15,017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77,500</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(3,393,542)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77,500</w:t>
            </w:r>
          </w:p>
        </w:tc>
      </w:tr>
      <w:tr>
        <w:trPr>
          <w:trHeight w:val="210"/>
        </w:trPr>
        <w:tc>
          <w:tcPr>
            <w:tcW w:w="52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(3,398,542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(339,167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(9,802,837)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(2,713,235)</w:t>
            </w:r>
          </w:p>
        </w:tc>
        <w:tc>
          <w:tcPr>
            <w:tcW w:w="10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(28,982,530)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(4,663,316)</w:t>
            </w:r>
          </w:p>
        </w:tc>
      </w:tr>
      <w:tr>
        <w:trPr>
          <w:trHeight w:val="216"/>
        </w:trPr>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 (BENEFIT)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(9,802,837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(2,713,235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(28,982,530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(4,663,316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share, basic</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(0.76)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 share, fully diluted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38,657,490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30,412,242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38,042,870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29,543,639</w:t>
            </w: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 diluted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38,657,490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30,412,242</w:t>
            </w:r>
          </w:p>
        </w:tc>
        <w:tc>
          <w:tcPr>
            <w:tcW w:w="10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38,042,870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29,543,639</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8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9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TREASURY</w:t>
            </w: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ACCUMULATED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8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900" w:type="dxa"/>
            <w:vAlign w:val="bottom"/>
            <w:gridSpan w:val="4"/>
            <w:vMerge w:val="continue"/>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SUBSCRIBED</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AT DECEMBER</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25,178,840</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2,519</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8,954,985</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(14,100,846)</w:t>
            </w: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(5,143,342)</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31, 2020</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1,589,400</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(298,062)</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(298,061)</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recapitalization</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2,436,500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2,436,256</w:t>
            </w:r>
          </w:p>
        </w:tc>
        <w:tc>
          <w:tcPr>
            <w:tcW w:w="12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471,000</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2,907,500</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770,000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769,923</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770,000</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(1,950,081)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(1,950,081)</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AT MARCH 31,</w:t>
            </w: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2021</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29,974,740</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2,839</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11,863,102</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471,000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line="199" w:lineRule="exact"/>
              <w:rPr>
                <w:sz w:val="20"/>
                <w:szCs w:val="20"/>
                <w:color w:val="auto"/>
              </w:rPr>
            </w:pPr>
            <w:r>
              <w:rPr>
                <w:rFonts w:ascii="Times New Roman" w:cs="Times New Roman" w:eastAsia="Times New Roman" w:hAnsi="Times New Roman"/>
                <w:sz w:val="12"/>
                <w:szCs w:val="12"/>
                <w:color w:val="auto"/>
              </w:rPr>
              <w:t>(16,050,927</w:t>
            </w:r>
            <w:r>
              <w:rPr>
                <w:rFonts w:ascii="Times New Roman" w:cs="Times New Roman" w:eastAsia="Times New Roman" w:hAnsi="Times New Roman"/>
                <w:sz w:val="22"/>
                <w:szCs w:val="22"/>
                <w:color w:val="auto"/>
                <w:vertAlign w:val="superscript"/>
              </w:rPr>
              <w:t>)</w:t>
            </w:r>
          </w:p>
        </w:tc>
        <w:tc>
          <w:tcPr>
            <w:tcW w:w="920" w:type="dxa"/>
            <w:vAlign w:val="bottom"/>
            <w:gridSpan w:val="2"/>
            <w:shd w:val="clear" w:color="auto" w:fill="CCEEFF"/>
          </w:tcPr>
          <w:p>
            <w:pPr>
              <w:jc w:val="right"/>
              <w:ind w:right="60"/>
              <w:spacing w:after="0" w:line="199" w:lineRule="exact"/>
              <w:rPr>
                <w:sz w:val="20"/>
                <w:szCs w:val="20"/>
                <w:color w:val="auto"/>
              </w:rPr>
            </w:pPr>
            <w:r>
              <w:rPr>
                <w:rFonts w:ascii="Times New Roman" w:cs="Times New Roman" w:eastAsia="Times New Roman" w:hAnsi="Times New Roman"/>
                <w:sz w:val="12"/>
                <w:szCs w:val="12"/>
                <w:color w:val="auto"/>
              </w:rPr>
              <w:t>(3,713,986</w:t>
            </w:r>
            <w:r>
              <w:rPr>
                <w:rFonts w:ascii="Times New Roman" w:cs="Times New Roman" w:eastAsia="Times New Roman" w:hAnsi="Times New Roman"/>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1,281,664</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1,922,368</w:t>
            </w:r>
          </w:p>
        </w:tc>
        <w:tc>
          <w:tcPr>
            <w:tcW w:w="12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(388,500)</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1,533,996</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690,000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1,034,931</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1,035,000</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Warrants issued for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676,892</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676,892</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through</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694,000</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69</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1,040,931</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1,041,000</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conversion of debt</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(2,713,235)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(2,713,235)</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2021</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32,640,404</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3,106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16,538,223</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82,500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2"/>
                <w:szCs w:val="12"/>
                <w:color w:val="auto"/>
              </w:rPr>
              <w:t>(18,764,162</w:t>
            </w:r>
            <w:r>
              <w:rPr>
                <w:rFonts w:ascii="Times New Roman" w:cs="Times New Roman" w:eastAsia="Times New Roman" w:hAnsi="Times New Roman"/>
                <w:sz w:val="20"/>
                <w:szCs w:val="20"/>
                <w:color w:val="auto"/>
                <w:vertAlign w:val="superscript"/>
              </w:rPr>
              <w:t>)</w:t>
            </w:r>
          </w:p>
        </w:tc>
        <w:tc>
          <w:tcPr>
            <w:tcW w:w="92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2"/>
                <w:szCs w:val="12"/>
                <w:color w:val="auto"/>
              </w:rPr>
              <w:t>(2,140,332</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AT DECEMBER</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37,082,864</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3,550</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30,144,374</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(247,165)</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(27,550,126)</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2,350,634</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31, 2021</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421,999</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1,265,958</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1,266,000</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1,180,000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3,539,882</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3,540,000</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Retirement of shares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(328,800)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(247,165)</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247,165</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Warrants converted to shares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73,334</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107,493</w:t>
            </w:r>
          </w:p>
        </w:tc>
        <w:tc>
          <w:tcPr>
            <w:tcW w:w="12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110,000</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Warrants issued for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10,841,695</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10,841,695</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Warrants issued for</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3,408,559</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3,408,559</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extinguishment of debt</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(19,179,693)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(19,179,693)</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AT MARCH 31,</w:t>
            </w: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2022</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38,429,397</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3,717</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49,060,796</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line="199" w:lineRule="exact"/>
              <w:rPr>
                <w:sz w:val="20"/>
                <w:szCs w:val="20"/>
                <w:color w:val="auto"/>
              </w:rPr>
            </w:pPr>
            <w:r>
              <w:rPr>
                <w:rFonts w:ascii="Times New Roman" w:cs="Times New Roman" w:eastAsia="Times New Roman" w:hAnsi="Times New Roman"/>
                <w:sz w:val="12"/>
                <w:szCs w:val="12"/>
                <w:color w:val="auto"/>
              </w:rPr>
              <w:t>(46,729,821</w:t>
            </w:r>
            <w:r>
              <w:rPr>
                <w:rFonts w:ascii="Times New Roman" w:cs="Times New Roman" w:eastAsia="Times New Roman" w:hAnsi="Times New Roman"/>
                <w:sz w:val="22"/>
                <w:szCs w:val="22"/>
                <w:color w:val="auto"/>
                <w:vertAlign w:val="superscript"/>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2,337,154</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228,500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685,462</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685,485</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179,995</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180,000</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Warrants converted to shares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295,000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382,471</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382,500</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Warrants issued for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8,278,691</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8,278,691</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(9,802,837)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(9,802,837)</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2022</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39,012,897</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3,776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58,587,415</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2"/>
                <w:szCs w:val="12"/>
                <w:color w:val="auto"/>
              </w:rPr>
              <w:t>(56,532,658</w:t>
            </w:r>
            <w:r>
              <w:rPr>
                <w:rFonts w:ascii="Times New Roman" w:cs="Times New Roman" w:eastAsia="Times New Roman" w:hAnsi="Times New Roman"/>
                <w:sz w:val="20"/>
                <w:szCs w:val="20"/>
                <w:color w:val="auto"/>
                <w:vertAlign w:val="superscript"/>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2,061,034</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5"/>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23"/>
        </w:trPr>
        <w:tc>
          <w:tcPr>
            <w:tcW w:w="7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19"/>
                <w:szCs w:val="19"/>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(28,982,530)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(4,663,316)</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 by operating activities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500,692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Forgiveness of debt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(77,500)</w:t>
            </w:r>
          </w:p>
        </w:tc>
      </w:tr>
      <w:tr>
        <w:trPr>
          <w:trHeight w:val="216"/>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Debt discount from modification of debt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(4,298)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issued for non-employee services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3,720,000</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1,805,000</w:t>
            </w:r>
          </w:p>
        </w:tc>
      </w:tr>
      <w:tr>
        <w:trPr>
          <w:trHeight w:val="216"/>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issued for conversion of debt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1,041,000</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Warrants issued for extinguishment of debt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3,408,559</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Warrants issued for services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19,120,386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676,892</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decrease in: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Right of use asset/liability</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(decrease) in: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134,372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1,113,092</w:t>
            </w:r>
          </w:p>
        </w:tc>
      </w:tr>
      <w:tr>
        <w:trPr>
          <w:trHeight w:val="230"/>
        </w:trPr>
        <w:tc>
          <w:tcPr>
            <w:tcW w:w="7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106,526</w:t>
            </w:r>
          </w:p>
        </w:tc>
        <w:tc>
          <w:tcPr>
            <w:tcW w:w="2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(525,779)</w:t>
            </w: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(1,995,250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(630,415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license right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77,595</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(527,905)</w:t>
            </w: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notes payable, related parties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(604,000)</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debt as part of merger/recapitalization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(298,061)</w:t>
            </w: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for cash</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1,951,487</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4,358,624</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cash for the conversion warrants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490,000</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for stock subscription</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82,500</w:t>
            </w:r>
          </w:p>
        </w:tc>
      </w:tr>
      <w:tr>
        <w:trPr>
          <w:trHeight w:val="209"/>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2,193,987</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3,088,753</w:t>
            </w:r>
          </w:p>
        </w:tc>
        <w:tc>
          <w:tcPr>
            <w:tcW w:w="100" w:type="dxa"/>
            <w:vAlign w:val="bottom"/>
            <w:tcBorders>
              <w:bottom w:val="single" w:sz="8" w:color="CCEEFF"/>
            </w:tcBorders>
          </w:tcPr>
          <w:p>
            <w:pPr>
              <w:spacing w:after="0"/>
              <w:rPr>
                <w:sz w:val="18"/>
                <w:szCs w:val="18"/>
                <w:color w:val="auto"/>
              </w:rPr>
            </w:pPr>
          </w:p>
        </w:tc>
      </w:tr>
      <w:tr>
        <w:trPr>
          <w:trHeight w:val="21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1,708,339</w:t>
            </w:r>
          </w:p>
        </w:tc>
        <w:tc>
          <w:tcPr>
            <w:tcW w:w="100" w:type="dxa"/>
            <w:vAlign w:val="bottom"/>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2,179,558</w:t>
            </w:r>
          </w:p>
        </w:tc>
        <w:tc>
          <w:tcPr>
            <w:tcW w:w="20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202,965</w:t>
            </w:r>
          </w:p>
        </w:tc>
      </w:tr>
      <w:tr>
        <w:trPr>
          <w:trHeight w:val="223"/>
        </w:trPr>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2,378,295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(refunded)</w:t>
            </w:r>
          </w:p>
        </w:tc>
        <w:tc>
          <w:tcPr>
            <w:tcW w:w="5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2022 and 2021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 Coeptis Pharmaceuticals, LLC (LLC) was formed in July 12, 2017 as a Pennsylvania multi-member limited liability company. 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2018, the members of LLC contributed their interest to a newly formed corporation, Coeptis Pharmaceuticals, Inc (“Coeptis”).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2018, the LLC became a disregarded single-member limited liability company which is wholly owned by the newly formed corporation.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2021, Vinings Holdings, Inc., a Delaware corporation (“Vinings”), merged (the “Merger”) with and into Coeptis Pharmaceuticals, Inc.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2021, the company has legally changed its name from Vinings Holdings, Inc. to Coeptis Therapeutics, Inc. Coeptis was the surviving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that Merger. As a result of the Merger, Vinings acquired the business of Coeptis and will continue the existing business operations of Coeptis as a wholly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subsidiary. The Merger was treated as a recapitalization of the Company for financial accounting purposes. The historical financial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Vinings before the Merger were replaced with the historical financial statements of Coeptis before the Merger in all future filings with the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located in Wexford, PA, and engages primarily in the acquisition, development, and commercialization of pharmaceutical products.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 </w:t>
      </w:r>
      <w:r>
        <w:rPr>
          <w:rFonts w:ascii="Times New Roman" w:cs="Times New Roman" w:eastAsia="Times New Roman" w:hAnsi="Times New Roman"/>
          <w:sz w:val="18"/>
          <w:szCs w:val="18"/>
          <w:color w:val="auto"/>
        </w:rPr>
        <w:t>- On April 18, 2022, the Company entered into an Agreement and Plan of Merger (the “Merger Agreement”) with BH Merger Sub, Inc.,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 a Delaware corporation and wholly-owned subsidiary of Bull Horn Holdings Corp., a company incorporated in the British Virgin Islands (together with its successors, including after giving effect to the Domestication as described below, “Bull Horn” or the “Purchaser”).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subject to the terms and conditions set forth therein, (i) prior to the Closing (as defined below), Bull Horn will re-domicile from the British Virgin Islands to the State of Delaware through a statutory re-domestication (the “Domestication”), and (ii) upon the consummation of the transactions contemplated by the Merger Agreement (the “Closing”), Merger Sub will merge with and into Coeptis (the “Merger” and, together with the Domestication and the other transactions contemplated by the Merger Agreement, the “Transactions”), with Coeptis continuing as the surviving corporation in the Merger and a wholly-owned subsidiary of Bull Horn (after the Domestication).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Merger, all outstanding shares of Coeptis preferred stock will convert or exchange their shares of preferred stock for shares of Coeptis common stock at the applicable ratio in Coeptis organizational documents (the “Preferred Stock Exchange”).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Merger, (i) all shares of Coeptis common stock issued and outstanding immediately prior to the effective time of the Merger (other than those properly exercising any applicable dissenters rights under Delaware law), but after giving effect to the Preferred Stock Exchange, will be converted into the right to receive a portion of the Merger Consideration (as defined below), (ii) certain issued and outstanding warrants to acquire shares of Coeptis stock (the “Specified Warrants”) will be assumed by Bull Horn and converted into a warrant for shares of Bull Horn common stock with its price and number of shares equitably adjusted based on the conversion of the shares of Coeptis common stock into the Merger Consideration (each, an “Assumed Warrant”),</w:t>
      </w:r>
    </w:p>
    <w:p>
      <w:pPr>
        <w:spacing w:after="0" w:line="3" w:lineRule="exact"/>
        <w:rPr>
          <w:sz w:val="20"/>
          <w:szCs w:val="20"/>
          <w:color w:val="auto"/>
        </w:rPr>
      </w:pPr>
    </w:p>
    <w:p>
      <w:pPr>
        <w:jc w:val="both"/>
        <w:ind w:firstLine="8"/>
        <w:spacing w:after="0" w:line="255"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outstanding convertible debt of Coeptis (the “Coeptis Convertible Debt”) will be assumed by Bull Horn and be convertible into common stock of Bull Horn (the “Assumed Convertible Debt”) and (iv) any other outstanding securities with the right to convert into or acquire equity securities of Coeptis or its subsidiaries will be terminated. At the Closing, Bull Horn will change its name to “Coeptis Therapeutics Holdings, Inc.”.</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aggregate Merger consideration received by Coeptis security holders from Bull Horn at the Closing will have an aggregate value equal to (the “Merger Consideration”) (i) $175,000,000, minus (or plus if positive), (ii) the amount of Coeptis’ outstanding indebtedness as of immediately prior to the Closing (excluding Permitted Debt, as described below), net of its cash as of immediately prior to the Closing, minus (iii) the amount of Coeptis’ outstanding unpaid transaction expenses and transaction bonuses as of the Closing. The Merger Consideration will be payable, (a) in the case of Coeptis stockholders, solely in new shares of Bull Horn common stock, with each share of Bull Horn common stock valued at the price per share (the “Redemption Price”) at which each Bull Horn share of common stock is redeemed or converted pursuant to the redemption by Bull Horn of its public shareholders in connection with Bull Horn’s initial business combination, as required by its amended and restated memorandum and articles of association and Bull Horn’s initial public offering prospectus (the “Closing Redemption”), and (b) with respect to the holders of the Specified Warrants, by the assumption of such warrants by Bull Horn as Assumed Warrants. The Merger Consideration deliverable to Coeptis stockholders will be allocated pro rata after giving effect to the Preferred Stock Exchange and deducting the value attributable to the Assumed Warrants as if the Specified Warrants that become Assumed Warrants were exercised on a net exercise basis as of immediately prior to the Closing.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4" w:name="page165"/>
    <w:bookmarkEnd w:id="164"/>
    <w:p>
      <w:pPr>
        <w:jc w:val="both"/>
        <w:spacing w:after="0" w:line="261" w:lineRule="auto"/>
        <w:rPr>
          <w:sz w:val="20"/>
          <w:szCs w:val="20"/>
          <w:color w:val="auto"/>
        </w:rPr>
      </w:pPr>
      <w:r>
        <w:rPr>
          <w:rFonts w:ascii="Times New Roman" w:cs="Times New Roman" w:eastAsia="Times New Roman" w:hAnsi="Times New Roman"/>
          <w:sz w:val="18"/>
          <w:szCs w:val="18"/>
          <w:color w:val="auto"/>
        </w:rPr>
        <w:t>The Coeptis Convertible Debt, along with (i) certain other outstanding indebtedness of Coeptis as of the date of the Merger Agreement (which together with the Coeptis Convertible Debt, has aggregate outstanding obligations of approximately $3.9 million as of the date of the Merger Agreement), and (ii) certain other indebtedness that Coeptis is permitted to incur between the signing of the Merger Agreement and the Closing, will not affect the Merger Consideration payable to Coeptis security holders (the Coeptis Convertible Debt and such other indebtedness, “Permitted Debt”).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accompanying unaudited financial statements have been prepared in accordance with accounting principles generally accepted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United States of America (“GAAP”) for interim financial information and with the instructions to Form 10-Q and Rule 8-03 of Regulation S-X. Accordingly, they do not include all of the information and notes required by generally accepted accounting principles in the United States of America for complete financial statements. In the opinion of the Company’s management, any adjustments contained in the accompanying unaudited consolidated financial statements are of a normal recurring nature, and are necessary to fairly present the financial position of the Company as of June 30, 2022, along with its results of operations for the three and six-month periods ended June 30, 2022 and 2021 and cash flows for the six-month periods ended June 30, 2022 and 2021. Interim financial statements are prepared on a basis consistent with the Company’s annual financial statements and should be read in conjunction with our Annual Report on Form 10-K for the fiscal year ended December 31, 2021. Results of operations for the six-month period ended June 30, 2022, are not necessarily indicative of the operating results that may be expected for the full year ending December 31, 2022.  </w:t>
      </w:r>
    </w:p>
    <w:p>
      <w:pPr>
        <w:spacing w:after="0" w:line="21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 </w:t>
      </w:r>
      <w:r>
        <w:rPr>
          <w:rFonts w:ascii="Times New Roman" w:cs="Times New Roman" w:eastAsia="Times New Roman" w:hAnsi="Times New Roman"/>
          <w:sz w:val="18"/>
          <w:szCs w:val="18"/>
          <w:color w:val="auto"/>
        </w:rPr>
        <w:t>The accompanying unaudited consolidated financial statements include the accounts of Coeptis Therapeutics Inc., Coeptis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Pharmaceuticals, Inc. and its wholly-owned subsidiary, Coeptis Pharmaceuticals, LLC. All material intercompany accounts, balances and transactions have been eliminated.</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Risks and Uncertainties </w:t>
      </w:r>
      <w:r>
        <w:rPr>
          <w:rFonts w:ascii="Times New Roman" w:cs="Times New Roman" w:eastAsia="Times New Roman" w:hAnsi="Times New Roman"/>
          <w:sz w:val="18"/>
          <w:szCs w:val="18"/>
          <w:color w:val="auto"/>
        </w:rPr>
        <w:t>- In late 2019, an outbreak of a novel strain of the Coronavirus 2019 Disease (COVID-19) was identified and infections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found in a number of countries around the world, including the United States. COVID-19 and its impact on trade including customer demand, travel, employee productivity, supply chain, and other economic activities has had, and may continue to have, a potentially significant effect on financial markets and business activity. The extent of the impact of COVID-19 on the Company’s operational and financial performance is currently uncertain and cannot be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“Summary of Significant Accounting Policies,” in the Company’s Annual Report on Form 10-K filed with the U.S. Securities and Exchange Commission (“SEC”) on March 11, 2022. There have been no material changes to the significant accounting policies during the six-month period ended June 30, 2022, except for items mentioned below.</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generally accepted accounting principles requires management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reported amounts of revenues and expenses during the reporting period. The Company believes that the estimates, judgments and assumptions upon which it relies are reasonable based upon information available at the time that these estimates, judgments and assumptions are made. Actual results could differ from those estimates. The Company’s accounting estimates include the useful lives of long-lived assets and recoverability of those assets, and valuation allowance of deferred tax assets.</w:t>
      </w:r>
    </w:p>
    <w:p>
      <w:pPr>
        <w:spacing w:after="0" w:line="18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Adoption of New Accounting Pronouncements </w:t>
      </w:r>
      <w:r>
        <w:rPr>
          <w:rFonts w:ascii="Times New Roman" w:cs="Times New Roman" w:eastAsia="Times New Roman" w:hAnsi="Times New Roman"/>
          <w:sz w:val="18"/>
          <w:szCs w:val="18"/>
          <w:color w:val="auto"/>
        </w:rPr>
        <w:t>- The Company has implemented all new applicable accounting pronouncements that are in effect.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pronouncements did not have any material impact on the financial statements unless otherwise disclosed, and management does not believe that there are any other new accounting pronouncements that have been issued that might have a material impact on its financial position or results of operations.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Going Concern - </w:t>
      </w:r>
      <w:r>
        <w:rPr>
          <w:rFonts w:ascii="Times New Roman" w:cs="Times New Roman" w:eastAsia="Times New Roman" w:hAnsi="Times New Roman"/>
          <w:sz w:val="18"/>
          <w:szCs w:val="18"/>
          <w:color w:val="auto"/>
        </w:rPr>
        <w:t>The accompanying financial statements have been prepared in conformity with generally accepted accounting principles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American (GAAP), which contemplate continuation of the Company as a going concern, which is dependent upon the Company’s ability to obtain sufficient financials or establish itself as a profitable business. As of the quarter ended June 30, 2022, the Company had accumulated deficit of $56,532,658. These conditions raise substantial doubt about the Company’s ability to continue as a going concern. Management’s plans with respect to operations include the sustained and aggressive developing and marketing of pharmaceutical products both domestically and abroad, and raising additional capital through sales of equity or debt securities as may be necessary to pursue its business plans and sustain operations until such time as the Company can achieve profitability. Management believes that aggressive marketing combined with additional financing as necessary will result in improved operations and cash flow. However, there can be no assurance that management will be successful in obtaining additional funding or in attaining profitable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NOTE 3 – LICENSE RIGHT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2019, the Company entered into an agreement with a foreign entity to market, distribute, and sell the Consensi product (Product) on an exclusive basis within the United States and Puerto Rico. Upon execution of the Agreement the Company paid $1,000,000 to the foreign entity. Milestone payments were due as follows; (1) $1,500,000 upon completion of the CMC Plan as reimbursements of costs incurred by the foreign entity, (2) $1,000,000 was due upon first commercial sale of the Product which occurred in June 2020. Milestones were not met as of June 30,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of 2021, the Company executed a license termination agreement with the foreign entity to cease all efforts for sales and promotion of the product in the United States and Puerto Rico. The termination included (i) issuance of $1,500,000 of convertible debt due in 2023 to satisfy amounts owed for the license, (ii) the issue of warrants (See NOTE 5) and (iii) transfer of inventory ownership back to the foreign entity. In conjunction with this termination, the Company also terminated its marketing agreement with a third party for the Product’s sales and promotion.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2021, the Company and VyGen-Bio, Inc. (“Vy-Gen”) entered into agreements to jointly develop and commercialize two Vy-Gen product candidates, CD38-GEAR-NK and CD38-Diagnostic (the “CD38 Assets”). The Company paid $1,750,000 and issued promissory notes totaling $3,250,000 to Vy-Gen in accordance with the agreements. The collaboration arrangement provides the right for the Company to participate, under the direction of a joint steering committee, in the development and commercialization of the CD38 Assets and a 50/50 profit share, with the profit share subject to contingent automatic downward adjustment up to 25% upon an event of default in connection with the promissory notes. The Company has determined that these options have alternative future use and should be recorded as assets pursuant to ASC 730-10-25-2. The Company capitalized $5,000,000 to be amortized over a five-year period in which the CD38 Assets are expected to contribute to future cash flows. In March of 2022, a $250,000 payment was made toward the promissory notes. As of June 30, 2022, the balance due under the two promissory notes totaled $1,500,000, with a maturity date of September 30, 2022. The Company is in compliance with the option agreement as of June 30, 2022.</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Related to the joint development, Coeptis, under the direction of the joint steering committee, is assessing market opportunities, intellectual property protection, and potential regulatory strategies for the CD38 Assets. VyGen Bio is responsible for development activities conducted and overseen by the scientists at Karolinska Institute. The agreement does not currently require additional payments for R&amp;D costs by Coeptis and no additional payments are required upon development or regulatory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note payable agreement with an unrelated company with a conversion option. The principal amount of $200,000, which is unsecured, together with interest at 9% was due June 15, 2020. In lieu of cash repayment, the outstanding principal amount of the note, plus all accrued unpaid interest may be converted at the option of the party, in whole or in part, into shares of Common Stock. As of the December 31, 2020, the note had a balance of $200,000. The note and accrued interest were paid in full in the first quarter of 2021.</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$500,000, which is secured by a security agreement, together with interest at 8%, plus additional 2% in the event of default, was due February 8, 2021. On April 14, 2022 the company entered into a Debt modification agreement with the note holder, extending the maturity to July 31, 2022. The extension was executed in exchange for consideration of warrants exchangeable for 400,000 shares of common stock at a price of $1.50 per share issued to the debt holders on January 28, 2022. See Note 5 for details of warrants. The balance of the note is $500,000 at June 30, 2022, and is recorded in the financials net the debt discount of $3,220. The Company is in compliance with the debt agreement as of June 30, 2022.</w:t>
      </w:r>
    </w:p>
    <w:p>
      <w:pPr>
        <w:spacing w:after="0" w:line="18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 related party stockholder. The principal amount of $250,000, which is secured by a security agreement, together with interest at 8%, plus additional 2% in the event of default, was due February 8, 2021. This debt was converted to equity in June 2021. The balance of the note was $0 and $0 as of June 30, 2022 and 2021, respectively.  </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2020, the Company entered into another Senior Secured Note agreement with a stockholder. The principal amount of $250,000, which is secured by a security agreement, together with interest at 8%, plus additional 2% in the event of default, was due February 8, 2021. This debt was converted to equity in June 2021. The balance of the note is $0 and $0 as of as of June 30, 2022 and 2021, respectively.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6" w:name="page167"/>
    <w:bookmarkEnd w:id="166"/>
    <w:p>
      <w:pPr>
        <w:spacing w:after="0" w:line="263"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$333,000, which is secured by a security agreement, together with interest at 8%, plus additional 2% in the event of default, was due February 8, 2021. This debt was converted to equity in June 2021. The balance of the note was $0 and $333,000 as of June 30, 2022 and 2021, respectively.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$167,000, which is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security agreement, together with interest at 8%, plus additional 2% in the event of default, was due February 8, 2021. On April 14, 2022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 Debt modification agreement with the note holder, extending the maturity to July 31, 2022. The extension was executed in exchange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of warrants exchangeable for 250,000 shares of common stock at a price of $1.50 per share issued to the debt holders on January 28,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details of warrants. The balance of the note is $167,000 at June 30, 2022, and is recorded in the financials net the debt discount of $1,078.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compliance with the debt agreement as of June 30,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September 2020, the Company entered a non-interest bearing, unsecured note agreement with two shareholders for $104,000 with an unspecified due date. The note was converted to equity in June 2021. The balance was $0 as of June 30, 2022, and 2021, respectively.  </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2021, as part of a termination of license agreement with Purple BioTech, the Company issued a convertible note in the principal amount of $1,500,000 that is payable on or before February 2023, bearing interest of 5% per annum and convertible in whole or in part at any time by Purple BioTech into shares of Coeptis’ common stock. The conversion price is $5 per share of common stock, subject to certain adjustments under such terms and conditions as agreed between the parties. Coeptis may prepay the principal amount of the Note plus accrued and unpaid interest at any time, prior to the Maturity Date. Inventory, which has been fully written-off on the Company’s balance sheet, will be transferred back to Purple at Purple’s cost. The Company is in compliance with the debt agreement as of June 30, 2022.</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Loans under the CARES Act </w:t>
      </w:r>
      <w:r>
        <w:rPr>
          <w:rFonts w:ascii="Times New Roman" w:cs="Times New Roman" w:eastAsia="Times New Roman" w:hAnsi="Times New Roman"/>
          <w:sz w:val="18"/>
          <w:szCs w:val="18"/>
          <w:color w:val="auto"/>
        </w:rPr>
        <w:t>-- On May 6, 2020, the Company received loan proceeds in the amount of approximately $77,500 under the Paycheck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Program (“PPP”). The PPP, established as part of the Coronavirus Aid, Relief and Economic Security Act (“CARES Act”),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and maintains its payroll levels. In February 2021, an additional $77,595 was received by the Company under the second round of PPP (“PPP2”). The Company has used the proceeds for purposes consistent with its intended use. Both the PPP and the PPP2 loans were forgiven in full, along with accrued interest, during 2021. The balance of the notes was $0 and $77,595 as of June 30, 2022 and 2021,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8, 2020, the Company received a loan of $150,000 from the from the United States Small Business Administration (the “SBA”) under its Economic Injury Disaster Loan (“EIDL”) assistance program in light of the impact of the COVID-19 pandemic on the Company’s business. Proceeds are intended to be used for working capital purposes. Interest on the EIDL Loan accrues at the rate of 3.75% per annum and installment payments, including principal and interest, are due monthly in the amount of $731. Installment payments have been deferred by the SBA until January 2023. The balance of principal and interest is payable thirty years from the date of the promissory note. The balance of the loan is $150,000, as of June 30, 2022 and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long-term debt are as follows for the quarter ended June 30,</w:t>
            </w:r>
          </w:p>
        </w:tc>
        <w:tc>
          <w:tcPr>
            <w:tcW w:w="1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5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c>
          <w:tcPr>
            <w:tcW w:w="22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3,126</w:t>
            </w:r>
          </w:p>
        </w:tc>
        <w:tc>
          <w:tcPr>
            <w:tcW w:w="2260" w:type="dxa"/>
            <w:vAlign w:val="bottom"/>
          </w:tcPr>
          <w:p>
            <w:pPr>
              <w:spacing w:after="0"/>
              <w:rPr>
                <w:sz w:val="18"/>
                <w:szCs w:val="18"/>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144,794</w:t>
            </w:r>
          </w:p>
        </w:tc>
        <w:tc>
          <w:tcPr>
            <w:tcW w:w="2260" w:type="dxa"/>
            <w:vAlign w:val="bottom"/>
          </w:tcPr>
          <w:p>
            <w:pPr>
              <w:spacing w:after="0"/>
              <w:rPr>
                <w:sz w:val="19"/>
                <w:szCs w:val="19"/>
                <w:color w:val="auto"/>
              </w:rPr>
            </w:pPr>
          </w:p>
        </w:tc>
      </w:tr>
      <w:tr>
        <w:trPr>
          <w:trHeight w:val="223"/>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628"/>
        </w:trPr>
        <w:tc>
          <w:tcPr>
            <w:tcW w:w="5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1890"/>
              <w:spacing w:after="0"/>
              <w:rPr>
                <w:sz w:val="20"/>
                <w:szCs w:val="20"/>
                <w:color w:val="auto"/>
              </w:rPr>
            </w:pPr>
            <w:r>
              <w:rPr>
                <w:rFonts w:ascii="Times New Roman" w:cs="Times New Roman" w:eastAsia="Times New Roman" w:hAnsi="Times New Roman"/>
                <w:sz w:val="18"/>
                <w:szCs w:val="18"/>
                <w:color w:val="auto"/>
              </w:rPr>
              <w:t>F-23</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NOTE 5 – CAPITAL STRUCTURE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number of shares of stock which the corporation shall have authority to issue is 760,000,000 shares, of which 750,000,000 shares of $0.0001 par value shall be designated as Common Stock and 10,000,000 shares of $0.0001 shall be designated as Preferred Stock. The Preferred Stock authorized by these Articles of Incorporation may be issued in one or more series. The Board of Directors of the Corporation is authorized to determine or alter the rights, preferences, privileges, and restrictions granted or imposed upon any wholly unissued series of Preferred Stock, and within the limitations or restrictions stated in any resolution or resolutions of the Board of Directors originally fixing the number of shares constituting any series, to increase or decrease (but not below the number of shares of any such series then outstanding) the number of shares of any such series subsequent to the issue of shares of that series, to determine the designation and par value of any series and to fix the numbers of shares of any series.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Common Stock - </w:t>
      </w:r>
      <w:r>
        <w:rPr>
          <w:rFonts w:ascii="Times New Roman" w:cs="Times New Roman" w:eastAsia="Times New Roman" w:hAnsi="Times New Roman"/>
          <w:sz w:val="18"/>
          <w:szCs w:val="18"/>
          <w:color w:val="auto"/>
        </w:rPr>
        <w:t>As of June 30, 2022 the Company had 39,012,897 shares of its common stock issued and outstanding, and on June 30, 2021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had 32,640,404 shares of its common stock issued and outstanding. All references to the common shares outstanding have been retroactively adjusted to reflect the stock splits unless stated otherwise.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and 2021, the Company raised capital by issuance of common stock above the stated par value. The contributed capital recognized as additional paid in capital during the quarter ended June 30, 2022 and 2021 was $685,462 and $1,922,368, respectively. Contributed capital recognized as additional paid in capital during the six-month periods June 30, 2022 and 2021 was $1,951,420 and $4,358,624. During the three and six-month periods ended June 30, 2022 and 2021, there were $0 in capital distributions.</w:t>
      </w:r>
    </w:p>
    <w:p>
      <w:pPr>
        <w:spacing w:after="0" w:line="17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Treasury Stock – </w:t>
      </w:r>
      <w:r>
        <w:rPr>
          <w:rFonts w:ascii="Times New Roman" w:cs="Times New Roman" w:eastAsia="Times New Roman" w:hAnsi="Times New Roman"/>
          <w:sz w:val="18"/>
          <w:szCs w:val="18"/>
          <w:color w:val="auto"/>
        </w:rPr>
        <w:t>As part of the Merger in February of 2021, the Company repurchased 328,800 shares of its common stock previously held by Vinings’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The stock was recorded at the cost paid for it, of $247,165 and held as Treasury stock for the duration of 2021. Subsequent to year end, the Company retired the 328,800 shares of Treasury Stock, as of February 18, 2022.  </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Series A Preferred Stock - </w:t>
      </w:r>
      <w:r>
        <w:rPr>
          <w:rFonts w:ascii="Times New Roman" w:cs="Times New Roman" w:eastAsia="Times New Roman" w:hAnsi="Times New Roman"/>
          <w:sz w:val="18"/>
          <w:szCs w:val="18"/>
          <w:color w:val="auto"/>
        </w:rPr>
        <w:t>As of April 30, 2019, the Series A Preferred Stock had been canceled, and no shares remain outstanding. The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privileges of future issuances of the Series A Preferred stock will be determined at such time if and when they are issued. As of the balance sheet dates presented, there were 0 shares of Series A Preferred outstanding.</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Series B Convertible Preferred Stock - </w:t>
      </w:r>
      <w:r>
        <w:rPr>
          <w:rFonts w:ascii="Times New Roman" w:cs="Times New Roman" w:eastAsia="Times New Roman" w:hAnsi="Times New Roman"/>
          <w:sz w:val="18"/>
          <w:szCs w:val="18"/>
          <w:color w:val="auto"/>
        </w:rPr>
        <w:t>The Company designated 2,000,000 shares of Series B Convertible Preferred Stock with a par value of $0.0001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Initially, there will be no dividends due or payable on the Series B Preferred Stock. Any future terms with respect to dividends shall be determined by the Board consistent with the Corporation’s Certificate of Incorporation. Any and all such future terms concerning dividends shall be reflected in an amendment to this Certificate, which the Board shall promptly file or cause to be filed.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of the Series B Preferred Stock shall rank (i) senior to the Corporation’s Common Stock and any other class or series of capital stock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hereafter created, (ii) pari passu with any class or series of capital stock of the Corporation hereafter created and specifically ranking, by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on par with the Series B Preferred Stock and (iii) junior to any class or series of capital stock of the Corporation hereafter created specifically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ranking, by its terms, senior to the Series B Preferred Stock, in each case as to distribution of assets upon liquidation, dissolution or winding up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whether voluntary or involuntary.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B Preferred shall have no liquidation preference over any other class of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holder of outstanding shares of Series B Preferred Stock shall be entitled to the number of votes equal to equal to one thousand (1,000) Common Shares. Except as provided by law, or by the provisions establishing any other series of Preferred Stock, holders of Series B Preferred Stock and of any other outstanding series of Preferred Stock shall vote together with the holders of Common Stock as a single class.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shares of Series B Preferred Stock may, at any time and from time to time, convert (an “Optional Conversion”) each of its shares of Series 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into a 1,000 of fully paid and nonassessable shares of Common Stock; provided, however, that any Optional Conversion must involve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at least 100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event of a reverse split, the conversion ratio shall not be changed. However, in the event a forward split shall occur then the conversion ratio shall be modified to be increased by the same ratio as the forward split.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evaluated the Series B Preferred Stock in accordance with ASC 815 and has determined their conversion options were for equity and ASC 815 did not apply as of December 31, 2021. The Company has evaluated the Series B Preferred Stock in accordance with FASB ASC Subtopic 470-20-40 and has determined that there is no beneficial conversion feature that must be accounted for as of December 31, 2021.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there were 8,000 shares of Series B Preferred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Common Stock Warrants - </w:t>
      </w:r>
      <w:r>
        <w:rPr>
          <w:rFonts w:ascii="Times New Roman" w:cs="Times New Roman" w:eastAsia="Times New Roman" w:hAnsi="Times New Roman"/>
          <w:sz w:val="18"/>
          <w:szCs w:val="18"/>
          <w:color w:val="auto"/>
        </w:rPr>
        <w:t>On November 23, 2020, the Company issued a class A and a class B warrant to Coral Investment Partners, LP (“CIP”),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warrant granting CIP the right to purchase 500,000 shares of common stock at a price of $2 for Class A or $5 for Class B. The warrants expire on November 30, 2023. The warrants also contain a cashless exercise provision and contained anti-dilution provisions. In October 2021, the Company was notified by the warrant holder that they intend to exercise its right to purchase shares of the Company under these warrants. However, the required cash payment has not been received, and the warrants remain outstanding as of June 30, 2022.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28, 2021, the Company issued a warrant to a third party in exchange for professional services, granting the warrant holder the right to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shares of common stock at a price of $1 per share, 500,000 shares at $2 per share, and 500,000 shares at $5 per share. The warrants expire on June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2026. All warrants were outstanding on June 30,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30th, 2021, the Company issued a warrant to a third party in exchange for professional services, granting the warrant holder the right to purchase 200,000 shares of common stock at a price of $1 per share, 100,000 shares at $2 per share, and 100,000 shares at $5 per share. The warrants expire on July 26, 2026. 5,000 warrants at $1 per share were exercised on March 1, 2022, and on June 27, 2022 exercised 195,000 warrants at $1 per share and 75,000 warrants at $2 per share. As of June 30, 2022 there were 125,000 warrants remaining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22, 2021, the Company issued a warrant in conjunction with the termination of the license right (see Note 3) with Purple Biotech, granting Purple Biotech the right to purchase 300,000 shares of common stock at $5 per share, subject to certain adjustments. During 2021, the Company recorded $1,897,585 as general and administrative expense in condensed consolidated statement of operations upon immediate vesting of the Warrant. The warrant was valued using the Black-Scholes option pricing model using the following assumptions: 1) exercise price of $5.00 per share, 2) fair value of $6.50 per share, 3) discount rate of 0.48%, 3) dividend rate of 0%, and 4) a term of 3 years.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20, 2021, the Company issued a warrant to a third party in exchange for services to be provided, granting the warrant holder the right to purchase 600,000 shares of common stock at a price of $1 per share. The warrants expire on December 20, 2026. All warrants were outstanding on June 30, 2022.</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contemplation of a debt extension, granting the warrant holder the right to purchase 250,000 shares of common stock at a price of $1.50 per share. The warrants expire on January 31, 2024. The warrants were expensed immediately as a loss on extinguishment of debt. All warrants were outstanding on June 30, 2022. Subsequently, on April 14, 2022, an agreement was executed with the debt holder extending the maturity of the debt to July 31, 2022 in recognition of the warrants issued on January 28, 2022. This amendment was treated as a debt modification, and will be accounted for accordingly in the second quarter.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contemplation of a debt extension, granting the warrant holder the right to purchase 400,000 shares of common stock at a price of $1.50 per share. The warrants expire on January 31, 2024. The warrants expire on January 31, 2024. The warrants were expensed immediately as a loss on extinguishment of debt. All warrants were outstanding on June 30, 2022. Subsequently, on April 14, 2022, an agreement was executed with the debt holder extending the maturity of the debt to July 31, 2022 in recognition of the warrants issued on January 28, 2022. This amendment was treated as a debt modification, and will be accounted for accordingly in the second quarter.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775,000 shares of common stock at a price of $1.50 per share. The warrants expire on January 31, 2024. All warrants were outstanding on June 30,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200,000 shares of common stock at a price of $1.50 per share. The warrants expire on January 31, 2024. All warrants were outstanding on June 30, 2022.</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69" w:name="page170"/>
    <w:bookmarkEnd w:id="169"/>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350,000 shares of common stock at a price of $1.50 per share. The warrants expire on January 31, 2024. 296,666 warrants were outstanding on June 30, 2022. 53,334 warrants at $1.50 per share were exercised on March 1, 2022.</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150,000 shares of common stock at a price of $1 per share and 150,000 shares at $2 per share. The warrants expire on January 31, 2024. All warrants were outstanding on June 30, 2022. On April 14, 2022, the Company issued an additional warrant in exchange for professional services, granting the warrant holder the right to purchase an additional 170,000 shares of common stock at a price of $1.50 per share. The warrants expire on January 31, 2024. All additional warrants were outstanding on June 30, 2022.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1,018,050 shares of common stock at a price of $1.50 per share. The warrants expire on January 31, 2024. All warrants were outstanding on June 30,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225,000 shares of common stock at a price of $1.50 per share. The warrants expire on January 31, 2024. 210,000 warrants were outstanding on June 30, 2022. 15,000 warrants at $1.50 per share were exercised on March 1,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100,000 shares of common stock at a price of $1 per share. The warrants expire on January 31, 2024. All warrants were outstanding on June 30,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100,000 shares of common stock at a price of $1.50 per share. The warrants expire on January 31, 2024. On June 27, 2022 a total of 25,000 warrants were exercised, leaving 75,000 outstanding on June 30,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100,000 shares of common stock at a price of $1.50 per share. The warrants expire on January 31, 2024. All warrants were outstanding on June 30,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52,050 shares of common stock at a price of $1.50 per share. The warrants expire on January 31, 2024. All warrants were outstanding on June 30,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30, 2022, the Company issued a warrant to a third party in conjunction with an investment, granting the warrant holder the right to purchase 250,000 shares of common stock at a price of $3 per share. The warrants expire on March 30, 2024. All warrants were outstanding on June 30,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30, 2022, the Company issued a warrant to a third party in exchange for professional services, granting the warrant holder the right to purchase 300,000 shares of common stock at a price of $1.50 per share. The warrants expire on April 1, 2027. All warrants were outstanding on June 30,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issued as of June 30, 2022 were valued using the Black-Scholes option pricing model using the following assumptions: 1) exercise price ranging from $1.00 to $5.00 per share, 2) fair value ranging from $4.80 to $6.00 per share, 3) discount rate ranging from 1.15% to 2.31%, 3) dividend rate of 0%, and 4) a term ranging from 2 to 5 years.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19, 2022, Coeptis initiated a forced warrant conversation for certain warrants and on April 20, 2022, for additional warrants. The original expiration for the warrant conversions was set as May 19, 2022, and May 20, 2022. The expiration date was extended and moved to June 30, 2022. A second extension moved the expiration to July 15, 2022, and the third and most recent extension moved the expiration date for the warrant conversions to August 1,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29"/>
        </w:trPr>
        <w:tc>
          <w:tcPr>
            <w:tcW w:w="38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Warrant contract</w:t>
            </w:r>
          </w:p>
        </w:tc>
        <w:tc>
          <w:tcPr>
            <w:tcW w:w="142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$1.00</w:t>
            </w: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$1.50</w:t>
            </w: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$2.00</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$3.00</w:t>
            </w: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$5.00</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Coral Investment Partners Warrants</w:t>
            </w:r>
          </w:p>
        </w:tc>
        <w:tc>
          <w:tcPr>
            <w:tcW w:w="1420" w:type="dxa"/>
            <w:vAlign w:val="bottom"/>
            <w:tcBorders>
              <w:right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1,000,000</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382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1,500,000</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500,000</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382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400,000</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200,000</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1, 2022</w:t>
            </w:r>
          </w:p>
        </w:tc>
        <w:tc>
          <w:tcPr>
            <w:tcW w:w="14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(5,000)</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June 27, 2022</w:t>
            </w:r>
          </w:p>
        </w:tc>
        <w:tc>
          <w:tcPr>
            <w:tcW w:w="14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(270,000)</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(195,000)</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(75,000)</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20" w:type="dxa"/>
            <w:vAlign w:val="bottom"/>
          </w:tcPr>
          <w:p>
            <w:pPr>
              <w:spacing w:after="0"/>
              <w:rPr>
                <w:sz w:val="18"/>
                <w:szCs w:val="18"/>
                <w:color w:val="auto"/>
              </w:rPr>
            </w:pP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125,000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25,000</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Purple BioTech</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775,000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775,000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350,000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1, 2022</w:t>
            </w:r>
          </w:p>
        </w:tc>
        <w:tc>
          <w:tcPr>
            <w:tcW w:w="14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(53,334)</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(53,334)</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20" w:type="dxa"/>
            <w:vAlign w:val="bottom"/>
          </w:tcPr>
          <w:p>
            <w:pPr>
              <w:spacing w:after="0"/>
              <w:rPr>
                <w:sz w:val="18"/>
                <w:szCs w:val="18"/>
                <w:color w:val="auto"/>
              </w:rPr>
            </w:pP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296,666</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296,666</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470,000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1,018,050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1,018,050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225,000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225,000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1, 2022</w:t>
            </w:r>
          </w:p>
        </w:tc>
        <w:tc>
          <w:tcPr>
            <w:tcW w:w="14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(15,000)</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20" w:type="dxa"/>
            <w:vAlign w:val="bottom"/>
          </w:tcPr>
          <w:p>
            <w:pPr>
              <w:spacing w:after="0"/>
              <w:rPr>
                <w:sz w:val="18"/>
                <w:szCs w:val="18"/>
                <w:color w:val="auto"/>
              </w:rPr>
            </w:pP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June 27, 2022</w:t>
            </w:r>
          </w:p>
        </w:tc>
        <w:tc>
          <w:tcPr>
            <w:tcW w:w="14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(25,000)</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20" w:type="dxa"/>
            <w:vAlign w:val="bottom"/>
          </w:tcPr>
          <w:p>
            <w:pPr>
              <w:spacing w:after="0"/>
              <w:rPr>
                <w:sz w:val="18"/>
                <w:szCs w:val="18"/>
                <w:color w:val="auto"/>
              </w:rPr>
            </w:pP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75,000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52,050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52,050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223"/>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warrants outstanding for purchase of shares:</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8,021,766</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1,350,000</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3,846,766</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1,175,000</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1,400,000</w:t>
            </w:r>
          </w:p>
        </w:tc>
      </w:tr>
      <w:tr>
        <w:trPr>
          <w:trHeight w:val="858"/>
        </w:trPr>
        <w:tc>
          <w:tcPr>
            <w:tcW w:w="3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F-27</w:t>
            </w: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3"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leases office space under an operating lease commencing December 1, 2017 through November 30, 2019 and a first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extensions commending December 1, 2019 through May 31, 2020. The second lease extension extends the lease for twenty-four months, beginning on June 1, 2020 and ending on May 31, 2022. The third lease extension extends the lease for twenty-four months, beginning on June 1, 2022 and ending on May 31, 2024. The monthly rent is $3,750. On January 1, 2019, the Company adopted ASC Topic 842, Leases, requiring this lease to be recorded as an asset and corresponding liability on its consolidated balance sheet. The Company records rent expense associated with this lease on the straight-line basis in conjunction with the terms of the underlying lease. During the quarter ended June 30, 2022 and 2021, rents paid totaled $11,250 and for the six-month period ended June 30, 2022 and 2021, rental expense totaled $22,500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rental payments required under the lease are as follows:</w:t>
            </w:r>
          </w:p>
        </w:tc>
        <w:tc>
          <w:tcPr>
            <w:tcW w:w="15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6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(remaining)</w:t>
            </w:r>
          </w:p>
        </w:tc>
        <w:tc>
          <w:tcPr>
            <w:tcW w:w="1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86,250</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w:t>
            </w: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5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75,792</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recorded a right of use asset of $77,950, and current and non-current lease liabilities of $19,451 and $56,341, respectively.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 The company is currently not a defendant in any litigation or threatened litigation that could have a material effect on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Royalty Obligations - </w:t>
      </w:r>
      <w:r>
        <w:rPr>
          <w:rFonts w:ascii="Times New Roman" w:cs="Times New Roman" w:eastAsia="Times New Roman" w:hAnsi="Times New Roman"/>
          <w:sz w:val="18"/>
          <w:szCs w:val="18"/>
          <w:color w:val="auto"/>
        </w:rPr>
        <w:t>In connection with the product licensing agreement discussed in Note 3, the Company owed a minimum royalty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 following the first year of product sales. A minimum royalty amount was also due in subsequent years. This agreement was terminated and settled in September 2021. As of June 30, 2022 and 2021, liabilities of $0 and $1,000,000, respectively, were recorded to reflect the minimum future royalty payments.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Royalty Advances </w:t>
      </w:r>
      <w:r>
        <w:rPr>
          <w:rFonts w:ascii="Times New Roman" w:cs="Times New Roman" w:eastAsia="Times New Roman" w:hAnsi="Times New Roman"/>
          <w:sz w:val="18"/>
          <w:szCs w:val="18"/>
          <w:color w:val="auto"/>
        </w:rPr>
        <w:t>- In the year ended December 31, 2020, the Company received royalty advances on future product sales from its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partner. These cumulative advances were recorded as deferred revenue of $1,000,000 at June 30, 2021. In August 2021, the Company terminated its agreement with its marketing partner. As part of the termination settlement, the payments made to Coeptis as advance of royalty payments on product sales were deemed forfeited by the marketing partner, and to remain as payments to Coeptis for the licensing rights. As such, advances totaling $1,000,000 were recognized as licensing income in Other Income for the year ended December 31, 2021. There were no royalty advances in the three- and six-month periods ended June 30, 2022 and 2021.</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Potential Asset acquisition </w:t>
      </w:r>
      <w:r>
        <w:rPr>
          <w:rFonts w:ascii="Times New Roman" w:cs="Times New Roman" w:eastAsia="Times New Roman" w:hAnsi="Times New Roman"/>
          <w:sz w:val="18"/>
          <w:szCs w:val="18"/>
          <w:color w:val="auto"/>
        </w:rPr>
        <w:t>- On April 6, 2022, the Company entered into a strategic agreement with Statera Biopharma, Inc.(‘Statera’) (Nasdaq: STAB)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Coeptis the exclusive right to negotiate a definitive agreement related to the acquisition by Coeptis of Statera’s toll-like receptor 5 (TLR5) agonist platform, including entolimod, a clinical-stage product currently being developed as a treatment for acute radiation syndrome. The consummation of the transaction is contingent upon a successful negotiation of a definitive agreement and satisfaction of a number of closing conditions, including a financing contingency. Coeptis and Statera have agreed to an exclusivity period through the date that is 30 days following the date on which the first draft of the definitive agreement is available to review by both parties.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Coeptis and Statera have agreed that the definitive agreement will provide for the payment by Coeptis to Statera of six million USD ($6,000,000) plus revenue-based milestone payments (to be defined in the definitive agreement) in exchange for a defined set of purchased assets that include Statera’s rights to any product containing Entolimod as an active ingredient and all other related TLR5 agonists, related intellectual property, contract rights, inventory and data related to such products.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Coeptis is currently continuing its due diligence review of the Entolimod opportunity, and in connection therewith is in the process of reviewing proposed loan documentation the proceeds of which would be used to finance the acquisition. Coeptis paid $61,250 as a good faith deposit on April 22, 2022, in connection with proposed financing through a third party.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2" w:name="page173"/>
    <w:bookmarkEnd w:id="172"/>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Option Agreement </w:t>
      </w:r>
      <w:r>
        <w:rPr>
          <w:rFonts w:ascii="Times New Roman" w:cs="Times New Roman" w:eastAsia="Times New Roman" w:hAnsi="Times New Roman"/>
          <w:sz w:val="18"/>
          <w:szCs w:val="18"/>
          <w:color w:val="auto"/>
        </w:rPr>
        <w:t>- On April 29, 2022, Coeptis entered into an exclusive option agreement with University of Pittsburgh for rights to three chimeric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antigen receptor T cell (CAR-T) technologies that offer the potential to address a range of hematologic and solid tumors. Among the initial cancer indications under development are pre-clinical programs targeting breast cancer and ovarian cancer. The exclusive option agreement involves the intellectual property rights to three technologies jointly developed in the laboratories of Jason Lohmueller, Ph.D., Assistant Professor of Immunology; Alexander Deiters, Ph.D., Professor of Chemistry; and Olivera Finn, Ph.D., Professor of Immunology: 1) mSA2 affinity-enhanced biotin-binding CAR, 2) universal self-labeling SynNotch and CARs for programable antigen-targeting, and 3) conditional control of universal CAR-T cells through stimulus-reactive adaptors. Per the option agreement, Coeptis paid the University of Pittsburgh a non-refundable fee of $5,000 for the exclusive option to license the patent rights to each of the three technologies. Coeptis has until October 29, 2022, to exercise the options and pay the specified exercise considerations. The option agreement may be extended an additional six months, subject to the agreement of both parties.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7 - 401(k) PROFIT-SHARING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a qualified profit-sharing plan with a 401(k) feature that covers all eligible employees. Participation in the 401(k) feature of the plan is voluntary. Participating employees may defer up to 100% of their compensation up to the maximum prescribed by the Internal Revenue Code. The plan permits for employee elective deferrals but has no contribution requirements for the Company. During the six months ended June 30, 2022 and 2021, no employer contributions were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and 2021, respectively, no income tax expense or benefit was recognized. The Company’s deferred tax assets are comprised primarily of net operating loss carryforwards. The Company maintains a full valuation allowance on its deferred tax assets since it has not yet achieved sustained profitable operations. As a result, the Company has not recorded any income tax benefit since its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3" w:name="page174"/>
    <w:bookmarkEnd w:id="173"/>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 Horn Holdings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Bull Horn Holdings Corp. (the “Company”) as of December 31, 2021 and 2020, the related statements of operations, changes in stockholders’ deficit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Company’s business plan is dependent on the completion of a business combination and the Company has determined that the mandatory liquidation and subsequent dissolution, should the Company be unable to complete a business combination, raises substantial doubt about the Company’s ability to continue as a going concern.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404,345</w:t>
            </w:r>
          </w:p>
        </w:tc>
        <w:tc>
          <w:tcPr>
            <w:tcW w:w="5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907,184</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8,333</w:t>
            </w: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51,815</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412,678</w:t>
            </w: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75,758,781</w:t>
            </w:r>
          </w:p>
        </w:tc>
        <w:tc>
          <w:tcPr>
            <w:tcW w:w="54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75,751,204</w:t>
            </w:r>
          </w:p>
        </w:tc>
        <w:tc>
          <w:tcPr>
            <w:tcW w:w="0" w:type="dxa"/>
            <w:vAlign w:val="bottom"/>
          </w:tcPr>
          <w:p>
            <w:pPr>
              <w:spacing w:after="0"/>
              <w:rPr>
                <w:sz w:val="1"/>
                <w:szCs w:val="1"/>
                <w:color w:val="auto"/>
              </w:rPr>
            </w:pPr>
          </w:p>
        </w:tc>
      </w:tr>
      <w:tr>
        <w:trPr>
          <w:trHeight w:val="223"/>
        </w:trPr>
        <w:tc>
          <w:tcPr>
            <w:tcW w:w="7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76,171,459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76,710,203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139,927</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139,927</w:t>
            </w: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4,797,000</w:t>
            </w:r>
          </w:p>
        </w:tc>
        <w:tc>
          <w:tcPr>
            <w:tcW w:w="5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20,700,000</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2,250,000</w:t>
            </w: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2,250,000</w:t>
            </w:r>
          </w:p>
        </w:tc>
        <w:tc>
          <w:tcPr>
            <w:tcW w:w="0" w:type="dxa"/>
            <w:vAlign w:val="bottom"/>
          </w:tcPr>
          <w:p>
            <w:pPr>
              <w:spacing w:after="0"/>
              <w:rPr>
                <w:sz w:val="1"/>
                <w:szCs w:val="1"/>
                <w:color w:val="auto"/>
              </w:rPr>
            </w:pPr>
          </w:p>
        </w:tc>
      </w:tr>
      <w:tr>
        <w:trPr>
          <w:trHeight w:val="209"/>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7,186,927</w:t>
            </w:r>
          </w:p>
        </w:tc>
        <w:tc>
          <w:tcPr>
            <w:tcW w:w="2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22,955,000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Contingencies and Commitments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subject to redemption, 7,500,000 shares at redemption value as of December 31, 2021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2020, respectively</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75,758,781</w:t>
            </w:r>
          </w:p>
        </w:tc>
        <w:tc>
          <w:tcPr>
            <w:tcW w:w="54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75,751,204</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no par value; unlimited shares authorized; none issued and outstanding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no par value; unlimited shares authorized; 1,875,000 shares issued and outstanding</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7,500,000 shares subject to possible redemption) at December 31, 2021 and 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25,000</w:t>
            </w:r>
          </w:p>
        </w:tc>
        <w:tc>
          <w:tcPr>
            <w:tcW w:w="54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(6,799,249)</w:t>
            </w: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(22,021,001)</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(6,774,249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(21,996,001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76,171,459</w:t>
            </w:r>
          </w:p>
        </w:tc>
        <w:tc>
          <w:tcPr>
            <w:tcW w:w="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76,710,203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5" w:name="page176"/>
    <w:bookmarkEnd w:id="175"/>
    <w:p>
      <w:pPr>
        <w:ind w:left="4320"/>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09"/>
        </w:trPr>
        <w:tc>
          <w:tcPr>
            <w:tcW w:w="7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681,319</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68,430</w:t>
            </w:r>
          </w:p>
        </w:tc>
      </w:tr>
      <w:tr>
        <w:trPr>
          <w:trHeight w:val="210"/>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(681,319)</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(68,430)</w:t>
            </w: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15,903,000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(17,100,000)</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 allocable to the warrant liabilities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(112,550)</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interest income</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marketable securities held in Trust Account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7,577</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w:t>
            </w:r>
          </w:p>
        </w:tc>
      </w:tr>
      <w:tr>
        <w:trPr>
          <w:trHeight w:val="209"/>
        </w:trPr>
        <w:tc>
          <w:tcPr>
            <w:tcW w:w="7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15,229,329</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(17,279,776)</w:t>
            </w:r>
          </w:p>
        </w:tc>
      </w:tr>
      <w:tr>
        <w:trPr>
          <w:trHeight w:val="197"/>
        </w:trPr>
        <w:tc>
          <w:tcPr>
            <w:tcW w:w="7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Ordinary shares subject to possible redemption</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7,500,000</w:t>
            </w:r>
          </w:p>
        </w:tc>
        <w:tc>
          <w:tcPr>
            <w:tcW w:w="38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1,191,781</w:t>
            </w:r>
          </w:p>
        </w:tc>
      </w:tr>
      <w:tr>
        <w:trPr>
          <w:trHeight w:val="197"/>
        </w:trPr>
        <w:tc>
          <w:tcPr>
            <w:tcW w:w="7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share, Ordinary shares subject to possible redemption</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(5.63)</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Non-redeemable ordinary shares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1,875,000</w:t>
            </w:r>
          </w:p>
        </w:tc>
        <w:tc>
          <w:tcPr>
            <w:tcW w:w="38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1,875,000</w:t>
            </w:r>
          </w:p>
        </w:tc>
      </w:tr>
      <w:tr>
        <w:trPr>
          <w:trHeight w:val="197"/>
        </w:trPr>
        <w:tc>
          <w:tcPr>
            <w:tcW w:w="7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share, Non-redeemable ordinary shares</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(5.63)</w:t>
            </w:r>
          </w:p>
        </w:tc>
      </w:tr>
      <w:tr>
        <w:trPr>
          <w:trHeight w:val="20"/>
        </w:trPr>
        <w:tc>
          <w:tcPr>
            <w:tcW w:w="7560" w:type="dxa"/>
            <w:vAlign w:val="bottom"/>
            <w:gridSpan w:val="2"/>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460" w:type="dxa"/>
            <w:vAlign w:val="bottom"/>
            <w:gridSpan w:val="5"/>
          </w:tcPr>
          <w:p>
            <w:pPr>
              <w:ind w:left="30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F-32</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SHAREHOLDERS’ DEFICIT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620" w:type="dxa"/>
            <w:vAlign w:val="bottom"/>
          </w:tcPr>
          <w:p>
            <w:pPr>
              <w:spacing w:after="0"/>
              <w:rPr>
                <w:sz w:val="20"/>
                <w:szCs w:val="20"/>
                <w:color w:val="auto"/>
              </w:rPr>
            </w:pPr>
          </w:p>
        </w:tc>
        <w:tc>
          <w:tcPr>
            <w:tcW w:w="3400" w:type="dxa"/>
            <w:vAlign w:val="bottom"/>
            <w:gridSpan w:val="6"/>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6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4620" w:type="dxa"/>
            <w:vAlign w:val="bottom"/>
          </w:tcPr>
          <w:p>
            <w:pPr>
              <w:spacing w:after="0"/>
              <w:rPr>
                <w:sz w:val="19"/>
                <w:szCs w:val="19"/>
                <w:color w:val="auto"/>
              </w:rPr>
            </w:pPr>
          </w:p>
        </w:tc>
        <w:tc>
          <w:tcPr>
            <w:tcW w:w="162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2,156,250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in excess of fair value of Private Placement</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1,950,000</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1,950,000</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Ordinary shares to redemption value</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(1,950,000)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(4,731,918)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(6,681,918)</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(281,250)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(17,279,776)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(17,279,776)</w:t>
            </w:r>
          </w:p>
        </w:tc>
      </w:tr>
      <w:tr>
        <w:trPr>
          <w:trHeight w:val="209"/>
        </w:trPr>
        <w:tc>
          <w:tcPr>
            <w:tcW w:w="46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(22,021,001)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(21,996,001)</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Ordinary shares to redemption value</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(7,577)</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15,229,329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15,229,329</w:t>
            </w:r>
          </w:p>
        </w:tc>
      </w:tr>
      <w:tr>
        <w:trPr>
          <w:trHeight w:val="210"/>
        </w:trPr>
        <w:tc>
          <w:tcPr>
            <w:tcW w:w="46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(6,799,249)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(6,774,249)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7" w:name="page178"/>
    <w:bookmarkEnd w:id="177"/>
    <w:p>
      <w:pPr>
        <w:ind w:left="4320"/>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0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15,229,329</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(17,279,776)</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(7,577)</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(15,903,000)</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17,100,000</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 allocable to the warrant liabilities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112,550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43,482</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(51,815)</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134,927</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(502,839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(115,695</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of cash in Trust Account</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(75,750,000)</w:t>
            </w: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7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(75,750,000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42,186</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ordinary shares, net of underwriting discounts paid</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73,500,000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Private Warrants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(324,982)</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(194,830)</w:t>
            </w: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76,772,374</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(502,839)</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906,679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907,184</w:t>
            </w:r>
          </w:p>
        </w:tc>
        <w:tc>
          <w:tcPr>
            <w:tcW w:w="3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63"/>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 Ending</w:t>
            </w:r>
          </w:p>
        </w:tc>
        <w:tc>
          <w:tcPr>
            <w:tcW w:w="7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404,345</w:t>
            </w:r>
          </w:p>
        </w:tc>
        <w:tc>
          <w:tcPr>
            <w:tcW w:w="2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907,184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7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8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Remeasurement of ordinary shares to redemption value</w:t>
            </w:r>
          </w:p>
        </w:tc>
        <w:tc>
          <w:tcPr>
            <w:tcW w:w="7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7,577</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1,204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underwriting fees payable</w:t>
            </w:r>
          </w:p>
        </w:tc>
        <w:tc>
          <w:tcPr>
            <w:tcW w:w="7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2,250,000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Bull Horn Holdings Corp. (the “Company”) is a blank check company incorporated in the British Virgin Islands on November 27, 2018. The Company was formed for the purpose of acquiring, engaging in a share exchange, share reconstruction and amalgamation with, purchasing all or substantially all of the assets of, entering into contractual arrangements with, or engaging in any other similar business combination with one or more businesses or entities (“Business Combination”). Although the Company is not limited to a particular industry or geographic region for purposes of consummating a Business Combination, the Company intends to focus on businesses in the sports (including sports franchises or assets related to sports franchises and sports technology), entertainment and brands sectors.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had not yet commenced any operations. All activity through December 31, 2021 relates to the Company’s formation, its initial public offering (the “Initial Public Offering”) and identifying a target company for a Business Combination. The Company will not generate any operating revenues until after the completion of a Business Combination, at the earliest. The Company will generate non-operating income in the form of interest income from the proceeds derived from the Initial Public Offering.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registration statement for the Initial Public Offering was declared effective on October 29, 2020. On November 3, 2020, the Company consummated the Initial Public Offering of 7,500,000 units (the “Units” and, with respect to the ordinary shares included in the Units sold, the “Public Shares”) at $10.00 per Unit, generating gross proceeds of $75,000,000. Each Unit consists of a Public Share and one redeemable warrant (the “Public Warrants”). See Note 3.</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3,750,000 warrants (the “Private Placement Warrants”) at a price of $1.00 per Private Warrant in a private placement to the Company’s sponsor, Bull Horn Holdings Sponsor LLC (the “Sponsor”), Imperial Capital, LLC (“Imperial”), I-Bankers Securities, Inc. (“I-Bankers”) and Northland Securities, Inc. (“Northland”) (and their designees), generating gross proceeds of $3,750,000, which is described in Note 4. Each of these Private Placement Warrants allow the holder thereof to purchase one ordinary share of the Company (the “ordinary share”).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Transaction costs amounted to $4,243,264 consisting of $1,500,000 of underwriting fees, $2,250,000 of deferred underwriting fees and $493,264 of other offering costs.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the closing of the Initial Public Offering on November 3, 2020, an amount of $75,750,000 ($10.10 per Unit) from the net proceeds of the sale of the Units in the Initial Public Offering and the sale of the Private Placement Warrants was placed in a trust account (the “Trust Account”) located in the United States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to the Company’s shareholders, as described below.</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 fair market value equal to at least 80% of the balance in the Trust Account (less any deferred underwriting commissions and taxes payable on interest earned) at the time of the signing of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DESCRIPTION OF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will provide its public shareholders with the opportunity to redeem all or a portion of their Public Shares upon the completion of a Business Combination either (i) in connection with a shareholder meeting called to approve the Business Combination or (ii) by means of a tender offer. In connection with a proposed Business Combination, the Company may seek shareholder approval of a Business Combination at a meeting called for such purpose at which shareholders may seek to redeem their shares, regardless of whether they vote for or against a Business Combination. The Company will proceed with a Business Combination only if the Company has net tangible assets of at least $5,000,001 immediately prior to or upon such consummation of a Business Combination and, if the Company seeks shareholder approval, a majority of the outstanding shares voted are voted in favor of the Business Combination.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seeking redemption rights with respect to 15% or more of the Public Shares without the Company’s prior written consent.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shareholders will be entitled to redeem their Public Shares for a pro rata portion of the amount then in the Trust Account (initially $10.10 per share, plus any pro rata interest earned on the funds held in the Trust Account and not previously released to the Company to pay its tax obligations). The per-share amount to be distributed to shareholders who redeem their Public Shares will not be reduced by the deferred underwriting commissions the Company will pay to the underwriters (as discussed in Note 6). There will be no redemption rights upon the completion of a Business Combination with respect to the Company’s warrants.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shareholder vote is not required and the Company does not decide to hold a shareholder vote for business or other legal reasons, the Company will, pursuant to its Amended and Restated Memorandum and Articles of Association, offer such redemption pursuant to the tender offer rules of the Securities and Exchange Commission (“SEC”), and file tender offer documents containing substantially the same information as would be included in a proxy statement with the SEC prior to completing a Business Combination.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Sponsor and any of the Company’s officers or directors that may hold founder shares (the “initial shareholders”), Imperial and I-Bankers have agreed (a) to vote their founder shares, and any Public Shares purchased during or after the Initial Public Offering in favor of a Business Combination, (b) not to propose an amendment to the Company’s Memorandum and Articles of Association with respect to the Company’s pre-Business Combination activities prior to the consummation of a Business Combination unless the Company provides dissenting public shareholders with the opportunity to redeem their Public Shares in conjunction with any such amendment; (c) not to redeem any shares (including the founder shares) into the right to receive cash from the Trust Account in connection with a shareholder vote to approve a Business Combination (or to sell any shares in a tender offer in connection with a Business Combination if the Company does not seek shareholder approval in connection therewith) or a vote to amend the provisions of the Memorandum and Articles of Association relating to shareholders’ rights of pre-Business Combination activity and (d) that the founder shares shall not participate in any liquidating distributions upon winding up if a Business Combination is not consummated. However, the initial shareholders will be entitled to liquidating distributions from the Trust Account with respect to any Public Shares purchased during or after the Initial Public Offering if the Company fails to complete its Business Combination.</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will have until May 3, 2022 to consummate a Business Combination (the “Combination Period”). 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per-share price, payable in cash, equal to the aggregate amount then on deposit in the Trust Account, including interest earned (net of taxes payable and less interest to pay dissolution expenses up to $50,000),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the remaining shareholders and the Company’s board of directors, proceed to commence a voluntary liquidation and thereby a formal dissolution of the Company, subject in each case to its obligations to provide for claims of creditors and the requirements of applicable law. The underwriters of the Initial Public Offering have agreed to waive its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amount initially funded in the Trust Account ($10.10 per share).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DESCRIPTION OF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vendor for services rendered or products sold to the Company, or a prospective target business with which the Company has discussed entering into a transaction agreement, reduce the amounts in the Trust Account to below $10.10 per share,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$404,345 in its operating bank accounts to be used for a Business Combination or to repurchase or redeem its ordinary shares in connection therewith and working capital of $272,751.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May 3, 2022 to consummate a Business Combination. It is uncertain that the Company will be able to consummate a Business Combination by this time. If a Business Combination is not consummated by this date and an extension not requested by the Sponsor, there will be a mandatory liquidation and subsequent dissolution of the Company. Management has determined that the mandatory liquidation, should a Business Combination not occur and an extension is not requested by the Sponsor, and potential subsequent dissolution raises substantial doubt about the Company’s ability to continue as a going concern. No adjustments have been made to the carrying amounts of assets or liabilities should the Company be required to liquidate after May 3,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COVID-19 and variants thereof, and governmental and societal actions to manage the pandemic, could have a negative effect on the Company’s financial position, results of its operations and/or search for a target company, the specific impact is not readily determinable as of the date of the financial statements. The financial statements do not include any adjustments that might result from the outcome of this uncertainty.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periods.</w:t>
      </w:r>
    </w:p>
    <w:p>
      <w:pPr>
        <w:spacing w:after="0" w:line="176"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did not have any cash equivalents as of December 31, 2021 and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Held in Trust Account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2021 and 2020, substantially all of the assets held in the Trust Account were held in money market funds which invest primarily in U.S. Treasury securities. The Company’s investments held in the Trust Account are classified as trading securities. Trading securities are presented on the balance sheets at fair value at the end of each reporting period. Gains and losses resulting from the change in fair value of investments held in Trust Account are included in interest earned on marketable securities held in Trust Account in the statements of operations. The estimated fair values of investments held in Trust Account are determined using available market information.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Offering costs consisted of legal, accounting and other expenses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allocated to warrant liabilities were expensed as incurred in the statements of operations. Offering costs associated with the ordinary shares issued were initially charged to temporary equity and then accreted to ordinary share subject to redemption upon the completion of the Initial Public Offering. Offering costs amounting to $4,243,264 were charged to temporary equity upon the completion of the Initial Public Offering. Transaction costs related to derivative liability incurred through the balance sheets date and directly related to the Initial Public Offering amounting to $112,500 were charged to operations upon the completion of the Initial Public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Subject to Possible Redemption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its ordinary shares subject to possible redemption in accordance with the guidance in Accounting Standards Codification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ordinary shares feature certain redemption rights that are considered to be outside of the Company’s control and subject to occurrence of uncertain future events. Accordingly, ordinary shares subject to possible redemption are presented at redemption value as temporary equity, outside of the shareholders’ deficit section of the Company’s balance sheets.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ordinary shares to equal the redemption value at the end of each reporting period. Increases or decreases in the carrying amount of redeemable ordinary shares are affected by charges against ordinary shares and accumulated deficit.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 December 31, 2021 and 2020, the ordinary shares reflected in the balance sheets are reconciled in the following table:</w:t>
            </w: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75,000,000</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(1,800,000)</w:t>
            </w:r>
          </w:p>
        </w:tc>
      </w:tr>
      <w:tr>
        <w:trPr>
          <w:trHeight w:val="216"/>
        </w:trPr>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issuance costs</w:t>
            </w:r>
          </w:p>
        </w:tc>
        <w:tc>
          <w:tcPr>
            <w:tcW w:w="4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(4,130,714)</w:t>
            </w: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4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6,681,918</w:t>
            </w:r>
          </w:p>
        </w:tc>
      </w:tr>
      <w:tr>
        <w:trPr>
          <w:trHeight w:val="210"/>
        </w:trPr>
        <w:tc>
          <w:tcPr>
            <w:tcW w:w="9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subject to possible redemption, December 31, 2020</w:t>
            </w: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75,751,204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4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7,577</w:t>
            </w:r>
          </w:p>
        </w:tc>
      </w:tr>
      <w:tr>
        <w:trPr>
          <w:trHeight w:val="223"/>
        </w:trPr>
        <w:tc>
          <w:tcPr>
            <w:tcW w:w="9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subject to possible redemption, December 31, 2021</w:t>
            </w: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75,758,781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the Public Warrants and Private Placement Warrants (together with the Public Warrants, the “Warrants”) in accordance with the guidance contained in ASC 815-40, under which the Warrants do not meet the criteria for equity treatment and must be recorded as liabilities. Accordingly, the Company classifies the Warrants as liabilities at their fair value and adjusts the Warrants to fair value in respect of each reporting period. This liability is subject to re-measurement at each balance sheet date until the Warrants are exercised, and any change in fair value is recognized in the statements of operations. The Private Placement Warrants and the Public Warrants for periods where no observable traded price was available are valued using a binomial lattice simulation model. For periods subsequent to the detachment of the Public Warrants from the Units, the Public Warrant quoted market price was used as the fair value as of each relevant 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British Virgin Islands is the Company’s only major tax jurisdiction. The Company recognizes accrued interest and penalties related to unrecognized tax benefits, if any, as income tax expense. There were no unrecognized tax benefits as of December 31, 2021 and 2020 and no amounts accrued for interest and penalties. The Company is currently not aware of any issues under review that could result in significant payments, accruals or material deviation from its position.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be subject to potential examination by foreign taxing authorities in the area of income taxes. These potential examinations may include questioning the timing and amount of deductions, the nexus of income among various tax jurisdictions and compliance with foreign tax laws. The Company’s management does not expect that the total amount of unrecognized tax benefits will materially change over the next twelve months.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considered to be an exempted British Virgin Islands company with no connection to any other taxable jurisdiction and is presently not subject to income taxes or income tax filing requirements in the British Virgin Islands or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Ordinary Share</w:t>
      </w:r>
    </w:p>
    <w:p>
      <w:pPr>
        <w:spacing w:after="0" w:line="229"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Financial Accounting Standards Board’s (“FASB”) ASC Topic 260, “Earnings Per Share”. Net income (loss) per ordinary share is computed by dividing net income (loss) by the weighted average number of ordinary shares outstanding for the period. Remeasurement associated with the redeemable shares of ordinary shares is excluded from earnings per share as the redemption value approximates fair value.</w:t>
      </w:r>
    </w:p>
    <w:p>
      <w:pPr>
        <w:spacing w:after="0" w:line="180"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The Public Warrants are exercisable to purchase 7,500,000 ordinary shares in the aggregate. As of December 31, 2021 and 2020, the Company did not have any dilutive securities or other contracts that could, potentially, be exercised or converted into ordinary shares and then share in the earnings of the Company. As a result, diluted net income (loss) per ordinary share is the same as basic net income (loss) per ordinary share for the periods presented.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ordinary share (in dollars,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6"/>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40" w:type="dxa"/>
            <w:vAlign w:val="bottom"/>
          </w:tcPr>
          <w:p>
            <w:pPr>
              <w:spacing w:after="0"/>
              <w:rPr>
                <w:sz w:val="18"/>
                <w:szCs w:val="18"/>
                <w:color w:val="auto"/>
              </w:rPr>
            </w:pPr>
          </w:p>
        </w:tc>
        <w:tc>
          <w:tcPr>
            <w:tcW w:w="286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 w:type="dxa"/>
            <w:vAlign w:val="bottom"/>
          </w:tcPr>
          <w:p>
            <w:pPr>
              <w:spacing w:after="0"/>
              <w:rPr>
                <w:sz w:val="20"/>
                <w:szCs w:val="20"/>
                <w:color w:val="auto"/>
              </w:rPr>
            </w:pPr>
          </w:p>
        </w:tc>
        <w:tc>
          <w:tcPr>
            <w:tcW w:w="28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187"/>
        </w:trPr>
        <w:tc>
          <w:tcPr>
            <w:tcW w:w="50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Non-</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16"/>
                <w:szCs w:val="16"/>
                <w:color w:val="auto"/>
              </w:rPr>
            </w:pPr>
          </w:p>
        </w:tc>
      </w:t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14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redeemable</w:t>
            </w: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Basic and diluted net income (loss) per ordinary share</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income (loss), as adjusted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12,183,463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3,045,866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(6,715,089)</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(10,564,687)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1,875,000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1,191,781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1,875,000</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(loss) per ordinary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balance sheets, primarily due to their short-term nature, except for warrant liabilities (see Note 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ASU 2020-06 did not impact the Company’s financial position, results of operations or cash flows.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accompanying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Initial Public Offering, the Company sold 7,500,000 Units at a purchase price of $10.00 per Unit. Each Unit consists of one ordinary share and one Public Warrant. Each Public Warrant entitles the holder to purchase one-half of one ordinary share at an exercise price of $11.50 per whole share, subject to adjustment (see Note 8).</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and the underwriters of the Initial Public Offering (Imperial, I-Bankers and Northland (and their designees)) purchased an aggregate of 3,750,000 Private Placement Warrants at a price of $1.00 per Private Placement Warrant, of which 2,625,000 Private Placement Warrants were purchased by the Sponsor and 1,125,000 Private Placement Warrants were purchased by Imperial, I-Bankers and Northland ($3,750,000 in the aggregate). The Sponsor, Imperial, I-Bankers and Northland agreed to purchase up to an additional 337,500 Private Placement Warrants at a price of $1.00 per Private Warrant, or an aggregate of $337,500, in the case that the underwriters’ over-allotment option is exercised in full or in part (such over-allotment option was never exercised). Each of these Private Placement Warrants allow the holder thereof to purchase one ordinary share. The proceeds from the sale of the Private Placement Warrants were added to the net proceeds from the Initial Public Offering held in the Trust Account. The Private Placement Warrants are identical to the Public Warrants sold in the Initial Public Offering, except that the Private Placement Warrants only allow the holder thereof to one ordinary share and the ordinary shares issuable upon the exercise of the Private Placement Warrants will not be transferable, assignable or saleable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 and as further described in Note 8.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2018, in anticipation of the expected issuance of 2,156,250 founder shares to the Sponsor, the Sponsor paid certain of the Company’s deferred offering costs with the $25,000 purchase price of the founder shares. As of December 31, 2018, one founder share was issued to the Sponsor. The remaining 2,156,249 founder shares were issued to the Sponsor on January 28, 2019.</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2,156,250 founder shares included an aggregate of up to 281,250 shares subject to forfeiture by the Sponsor to the extent that the underwriters’ over-allotment was not exercised in full or in part, so that the initial shareholders would collectively own 20% of the Company’s issued and outstanding shares after the Initial Public Offering (assuming the initial shareholders do not purchase any Public Shares in the Initial Public Offering). On December 10, 2020, the underwriters notified the Company that they would not be exercising the over-allotment option and as a result, the Sponsor returned 281,250 Ordinary Shares to the Company for no consideration and such Ordinary Shares were canceled.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initial shareholders have agreed not to transfer, assign or sell any of the founder shares (except to certain permitted transferees) until, with respect to 50% of the founder shares, the earlier of (i) six months after the date of the consummation of a Business Combination, or (ii) the date on which the closing price of the Company’s ordinary shares equals or exceeds $12.50 per share (as adjusted for stock splits, stock dividends, reorganizations and recapitalizations) for any 20 trading days within any 30-trading day period commencing after a Business Combination, and, with respect to the remaining 50% of the founder shares, upon six months after the date of the consummation of a Business Combination, or earlier, in each case, if, subsequent to a Business Combination, the Company consummates a subsequent liquidation, merger, stock exchange or other similar transaction which results in all of the Company’s shareholders having the right to exchange their ordinary shares for cash, securities or other property.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Assignment of Private Placement Warrants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December 10, 2020, by agreements between the Sponsor, Imperial, I-Bankers and Northland, an aggregate of 375,000 Private Placement Warrants were assigned by Imperial, I-Bankers and Northland to the Sponsor.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18, 2018, as amended on December 23, 2019, the Company issued an unsecured promissory note (the “Promissory Note”) to the Sponsor, pursuant to which the Company could borrow up to an aggregate principal amount of $300,000. The note was non-interest bearing and payable on the earlier of (i) December 31, 2020 or (ii) the consummation of the Initial Public Offering. The outstanding balance under the Promissory Note of $194,830 was repaid at the closing of the Initial Public Offering on November 3, 2020. There are no further borrowings available under the Promissory Note.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Company’s Sponsor or an affiliate of the Sponsor, or the Company’s officers and directors may, but are not obligated to, loan the Company funds as may be required (“Working Capital Loans”). Such Working Capital Loans would be evidenced by promissory notes. The notes would either be repaid upon consummation of a Business Combination, without interest, or, at the lender’s discretion, up to $1,500,000 of notes may be converted upon consummation of a Business Combination into additional Private Placement Warrants at a price of $1.00 per Private Warrant. In the event that a Business Combination does not close, the Company may use a portion of proceeds held outside the Trust Account to repay the Working Capital Loans but no proceeds held in the Trust Account would be used to repay the Working Capital Loans. As of December 31, 2021 and 2020, there were no amounts outstanding under the Working Capital Loans.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Anchor Investors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Six unaffiliated qualified institutional buyers (who are also not affiliated with the Sponsor or any member of the Company’s management team) purchased Units in the Initial Public Offering at a level of 9.9% of the Units subject to the Initial Public Offering (which aggregates to 59.4% of the Units subject to the Initial Public Offering) and entered into subscription agreements with the Sponsor to memorialize their agreement. The Company refers to these investors as “anchor investors.” In consideration of providing these agreements, the anchor investors each purchased membership interests in the Sponsor, for nominal consideration, entitling them to an interest in an aggregate of 270,000 founder shares held by the Sponsor or 45,000 founder shares for each anchor investor (which the Company refers to as the “anchor founder shares”). The anchor founder shares are treated the same in all material respects as the founder shares held by the Sponsor. Discussions with each anchor investor were separate and the arrangements with them are not contingent on each other. Further, to the Company’s knowledge, the anchor investors are not affiliated with each other and are not acting together with regards to the Company. The amount of the fair value of subscription agreements with the anchor investors in excess of the amount paid was treated as contributed capital and offering costs related to the Initial Public Offering.</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subscription agreements with the Sponsor, the anchor investors have not been granted any material additional shareholder or other rights, and are only being issued membership interests in the Sponsor with no right to control the Sponsor or vote or dispose of the anchor founder shares (which will continue to be held by the Sponsor until following the initial Business Combination). Further, the anchor investors are not required to: (i) hold any Units, ordinary shares or warrants they may purchase in the Initial Public Offering or thereafter for any amount time, (ii) vote any ordinary shares they may own at the applicable time in favor of the initial Business Combination or (iii) refrain from exercising their right to redeem their ordinary shares at the time of the initial Business Combination. The purchases by the anchor investors of Units in the Initial Public Offering or the Company’s securities in the open market (or both) could, if they hold such securities, allow the anchor investors or any one of them to assert influence over the Company, including with respect to the initial Business Combination.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COMMITMENTS AND CONTINGENCIES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October 29, 2020, the holders of the founder shares, the Private Placement Warrants and underlying securities, and any securities issued upon conversion of Working Capital Loans (and underlying securities) will be entitled to registration rights pursuant to a registration rights agreement. The holders of at least a majority in interest of the then-outstanding number of these securities are entitled to make up to three demands, excluding short form demands, that the Company register such securities. In addition, the holders have certain “piggy-back” registration rights with respect to registration statements filed subsequent to the consummation of a Business Combination. Notwithstanding the foregoing, Imperial, I-Bankers and Northland may not exercise their demand and “piggyback” registration rights after five (5) and seven (7) years after the effective date of the registration statement and may not exercise its demand rights on more than one occasion.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underwriters are entitled to a deferred fee of three percent (3.0%) of the gross proceeds of the Initial Public Offering, or $2,250,000. The deferred fee will be paid in cash upon the closing of a Business Combination from the amounts held in the Trust Account, subject to the terms of the underwriting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DEFICIT</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Shares </w:t>
      </w:r>
      <w:r>
        <w:rPr>
          <w:rFonts w:ascii="Times New Roman" w:cs="Times New Roman" w:eastAsia="Times New Roman" w:hAnsi="Times New Roman"/>
          <w:sz w:val="18"/>
          <w:szCs w:val="18"/>
          <w:color w:val="auto"/>
        </w:rPr>
        <w:t>— The Company is authorized to issue an unlimited number of no par value preferred shares, divided into five classes,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Class E, each with such designation, rights and preferences as may be determined by a resolution of the Company’s board of directors to amend the Memorandum and Articles of Association to create such designations, rights and preferences. The Company has five classes of preferred shares to give the Company flexibility as to the terms on which each Class is issued. All shares of a single class must be issued with the same rights and obligations. Accordingly, starting with five classes of preferred shares will allow the Company to issue shares at different times on different terms. At December 31, 2021 and 2020, there are no preferred shares designated, issued or outstanding.</w:t>
      </w:r>
    </w:p>
    <w:p>
      <w:pPr>
        <w:spacing w:after="0" w:line="18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Shares </w:t>
      </w:r>
      <w:r>
        <w:rPr>
          <w:rFonts w:ascii="Times New Roman" w:cs="Times New Roman" w:eastAsia="Times New Roman" w:hAnsi="Times New Roman"/>
          <w:sz w:val="18"/>
          <w:szCs w:val="18"/>
          <w:color w:val="auto"/>
        </w:rPr>
        <w:t>— The Company is authorized to issue an unlimited number of no par value ordinary shares. Holders of the Company’s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are entitled to one vote for each share. At December 31, 2021 and 2020, there were 1,875,000 ordinary shares issued and outstanding, excluding 7,500,000 shares that are subject to possible redemption and presented as temporary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December 31, 2021, there were 7,500,000 Public Warrants outstanding. Public Warrants will become exercisable on the later of (a) the consummation of a Business Combination or (b) 12 months from the effective date of the registration statement relating to the Initial Public Offering. No Public Warrants will be exercisable for cash unless the Company has an effective and current registration statement covering the ordinary shares issuable upon exercise of the Public Warrants and a current prospectus relating to such ordinary shares. Notwithstanding the foregoing, if a registration statement covering the ordinary shares issuable upon the exercise of the Public Warrants is not effective within 90 days from the consummation of a Business Combination, the holders may, until such time as there is an effective registration statement and during any period when the Company shall have failed to maintain an effective registration statement, exercise the Public Warrants on a cashless basis pursuant to an available exemption from registration under the Securities Act. If an exemption from registration is not available, holders will not be able to exercise their Public Warrants on a cashless basis. The Public Warrants will expire five years from the consummation of a Business Combination or earlier upon redemption or liquidation.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WARRANTS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or equity-linked securities for capital raising purposes in connection with the closing of its Business Combination at an issue price or effective issue price of less than $9.50 per share (as adjusted for splits, dividends, rights issuances, subdivisions, reorganizations, recapitalizations and the like) (with such issue price or effective issue price to be determined in good faith by the Company’s board of directors, and in the case of any such issuance to the Sponsor, initial shareholders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the Business Combination (net of redemptions), and (z) the volume weighted average trading price of the Company’s ordinary shares during the 20 trading day period starting on the trading day prior to the day on which the Company consummates its Business Combination (such price, the “Market Value”) is below $9.50 per share, the exercise price of the warrants will be adjusted (to the nearest cent) to be equal to 115% of the higher of (i) the Market Value and (ii) the Newly Issued Price, and the $16.50 per share redemption trigger price described below will be adjusted (to the nearest cent) to be equal to 165% of the higher of (i) the Market Value and (ii) the Newly Issued Price.</w:t>
      </w:r>
    </w:p>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may call the warrants for redemption (excluding the Private Placement Warrants), in whole and not in part, at a price of $0.01 per warrant:</w:t>
      </w:r>
    </w:p>
    <w:p>
      <w:pPr>
        <w:spacing w:after="0" w:line="162" w:lineRule="exact"/>
        <w:rPr>
          <w:sz w:val="20"/>
          <w:szCs w:val="20"/>
          <w:color w:val="auto"/>
        </w:rPr>
      </w:pPr>
    </w:p>
    <w:p>
      <w:pPr>
        <w:ind w:left="460" w:hanging="223"/>
        <w:spacing w:after="0"/>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Public Warrants are exercisable,</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Public Warrant holder,</w:t>
      </w:r>
    </w:p>
    <w:p>
      <w:pPr>
        <w:spacing w:after="0" w:line="225" w:lineRule="exact"/>
        <w:rPr>
          <w:rFonts w:ascii="Times New Roman" w:cs="Times New Roman" w:eastAsia="Times New Roman" w:hAnsi="Times New Roman"/>
          <w:sz w:val="18"/>
          <w:szCs w:val="18"/>
          <w:color w:val="auto"/>
        </w:rPr>
      </w:pPr>
    </w:p>
    <w:p>
      <w:pPr>
        <w:ind w:left="460" w:hanging="223"/>
        <w:spacing w:after="0" w:line="282"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ordinary shares equals or exceeds $16.50 per share, for any 20 trading days within a 30 trading day period ending on the third trading day prior to the notice of redemption to Public Warrant holders, and</w:t>
      </w:r>
    </w:p>
    <w:p>
      <w:pPr>
        <w:spacing w:after="0" w:line="161" w:lineRule="exact"/>
        <w:rPr>
          <w:rFonts w:ascii="Times New Roman" w:cs="Times New Roman" w:eastAsia="Times New Roman" w:hAnsi="Times New Roman"/>
          <w:sz w:val="18"/>
          <w:szCs w:val="18"/>
          <w:color w:val="auto"/>
        </w:rPr>
      </w:pPr>
    </w:p>
    <w:p>
      <w:pPr>
        <w:ind w:left="460" w:hanging="223"/>
        <w:spacing w:after="0" w:line="282"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ordinary shares underlying such warrants at the time of redemption and for the entire 30-day trading period referred to above and continuing each day thereafter until the date of redemption.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warrants may be adjusted in certain circumstances including in the event of a stock dividend, extraordinary dividend or recapitalization, reorganization, merger or consolidation. However, except as described above, the warrants will not be adjusted for issuances of ordinary shares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only allow the holder thereof to one ordinary share and the ordinary shares issuable upon the exercise of the Private Placement Warrants will not be transferable, assignable or saleable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ASC Section 815-40-15 addresses equity versus liability treatment and classification of equity-linked financial instruments, including warrants, and states that a warrant may be classified as a component of equity only if, among other things, the warrant is indexed to the issuer’s ordinary share. Under ASC Section 815-40-15, a warrant is not indexed to the issuer’s ordinary share if the terms of the warrant require an adjustment to the exercise price upon a specified event and that event is not an input to the fair value of the warrant. Based on management’s evaluation, the Company’s audit committee, in consultation with management, concluded that the Company’s Private Placement Warrants and Public Warrants are not indexed to the Company’s ordinary share in the manner contemplated by ASC Section 815-40-15 because the holder of the instrument is not an input into the pricing of a fixed-for-fixed option on equity shares. In addition, based on management’s evaluation, the Company’s audit committee, in consultation with management, concluded that certain warrant provisions preclude equity treatment as by ASC Section 815-10-15.</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WARRANTS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accounts for its Public Warrants and Private Placement Warrants as liabilities as set forth in ASC 815-40-15-7D and 7F. See Note 9 for details over the methodology and valuation of the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7" w:lineRule="exact"/>
        <w:rPr>
          <w:sz w:val="20"/>
          <w:szCs w:val="20"/>
          <w:color w:val="auto"/>
        </w:rPr>
      </w:pPr>
    </w:p>
    <w:p>
      <w:pPr>
        <w:ind w:left="1360" w:hanging="782"/>
        <w:spacing w:after="0" w:line="282" w:lineRule="auto"/>
        <w:tabs>
          <w:tab w:leader="none" w:pos="1340" w:val="left"/>
        </w:tabs>
        <w:rPr>
          <w:sz w:val="20"/>
          <w:szCs w:val="20"/>
          <w:color w:val="auto"/>
        </w:rPr>
      </w:pPr>
      <w:r>
        <w:rPr>
          <w:rFonts w:ascii="Times New Roman" w:cs="Times New Roman" w:eastAsia="Times New Roman" w:hAnsi="Times New Roman"/>
          <w:sz w:val="18"/>
          <w:szCs w:val="18"/>
          <w:color w:val="auto"/>
        </w:rPr>
        <w:t>Level 1:</w:t>
        <w:tab/>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2" w:lineRule="exact"/>
        <w:rPr>
          <w:sz w:val="20"/>
          <w:szCs w:val="20"/>
          <w:color w:val="auto"/>
        </w:rPr>
      </w:pPr>
    </w:p>
    <w:p>
      <w:pPr>
        <w:ind w:left="1360" w:right="20" w:hanging="782"/>
        <w:spacing w:after="0" w:line="282" w:lineRule="auto"/>
        <w:tabs>
          <w:tab w:leader="none" w:pos="1340" w:val="left"/>
        </w:tabs>
        <w:rPr>
          <w:sz w:val="20"/>
          <w:szCs w:val="20"/>
          <w:color w:val="auto"/>
        </w:rPr>
      </w:pPr>
      <w:r>
        <w:rPr>
          <w:rFonts w:ascii="Times New Roman" w:cs="Times New Roman" w:eastAsia="Times New Roman" w:hAnsi="Times New Roman"/>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162" w:lineRule="exact"/>
        <w:rPr>
          <w:sz w:val="20"/>
          <w:szCs w:val="20"/>
          <w:color w:val="auto"/>
        </w:rPr>
      </w:pPr>
    </w:p>
    <w:p>
      <w:pPr>
        <w:ind w:left="580"/>
        <w:spacing w:after="0"/>
        <w:tabs>
          <w:tab w:leader="none" w:pos="13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on a recurring basis at December 31, 2021 and 2020, and indicates the fair value hierarchy of the valuation inputs the Company utilized to determine such fair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280" w:type="dxa"/>
            <w:vAlign w:val="bottom"/>
            <w:gridSpan w:val="2"/>
            <w:vMerge w:val="continue"/>
          </w:tcPr>
          <w:p>
            <w:pPr>
              <w:spacing w:after="0"/>
              <w:rPr>
                <w:sz w:val="20"/>
                <w:szCs w:val="20"/>
                <w:color w:val="auto"/>
              </w:rPr>
            </w:pP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75,758,781</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75,751,204</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1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2,398,500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10,350,000</w:t>
            </w:r>
          </w:p>
        </w:tc>
        <w:tc>
          <w:tcPr>
            <w:tcW w:w="0" w:type="dxa"/>
            <w:vAlign w:val="bottom"/>
          </w:tcPr>
          <w:p>
            <w:pPr>
              <w:spacing w:after="0"/>
              <w:rPr>
                <w:sz w:val="1"/>
                <w:szCs w:val="1"/>
                <w:color w:val="auto"/>
              </w:rPr>
            </w:pPr>
          </w:p>
        </w:tc>
      </w:t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Liabilities – Private Placement Warrants</w:t>
            </w: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2,398,500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10,350,000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Warrants are accounted for as liabilities in accordance with ASC 815-40 and are presented within warrant liabilities on the accompanying balance sheets. The warrant liabilities are measured at fair value at inception and on a recurring basis, with changes in fair value presented in the statements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Warrants were valued using a binomial lattice model, which is considered to be a Level 3 fair value measurement. The binomial lattice model’s primary unobservable input utilized in determining the fair value of the Warrants is the expected volatility of the ordinary shares. The expected volatility as of the Initial Public Offering date was derived from observable public warrant pricing on comparable ‘blank-check’ companies without an identified target. For periods subsequent to the detachment of the Public Warrants from the Units, the close price of the Public Warrant price will be used as the fair value as of each relevant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50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Trading days per year</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r>
      <w:tr>
        <w:trPr>
          <w:trHeight w:val="432"/>
        </w:trPr>
        <w:tc>
          <w:tcPr>
            <w:tcW w:w="6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The following table presents the changes in the fair value of Level 3 warrant liabilities: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Warrant</w:t>
            </w:r>
          </w:p>
        </w:tc>
      </w:tr>
      <w:tr>
        <w:trPr>
          <w:trHeight w:val="238"/>
        </w:trPr>
        <w:tc>
          <w:tcPr>
            <w:tcW w:w="4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Placement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1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10,350,000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(7,951,500)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(7,951,500)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(15,903,000)</w:t>
            </w: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2021</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2,398,500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2,398,500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 during the year ended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5, 2022, the Company filed a definitive proxy statement to announce its intention to hold a special meeting of shareholders on April 26, 2022 to seek an extension of the deadline by which the Company must consummate its initial business combination on a month to month basis (subject to additional monies being funded into our trust account by the Sponsor or its designees) from May 3, 2022 up until November 3, 2022. Such an extension requires the approval of the Company’s public shareholders to amend its charter, who will be provided the opportunity to at the time of the special meeting to redeem all or a portion their ordinary shares. A significant number of such redemptions will have a material adverse effect on the amount held in the Trust Account and other adverse effects on the Company, such as our ability to have enough cash to implement an initial business combination or to maintain the Company’s listing on Nasdaq.</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5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84,153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404,345</w:t>
            </w:r>
          </w:p>
        </w:tc>
      </w:tr>
      <w:tr>
        <w:trPr>
          <w:trHeight w:val="23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38,797</w:t>
            </w:r>
          </w:p>
        </w:tc>
        <w:tc>
          <w:tcPr>
            <w:tcW w:w="20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8,333</w:t>
            </w:r>
          </w:p>
        </w:tc>
      </w:tr>
      <w:tr>
        <w:trPr>
          <w:trHeight w:val="209"/>
        </w:trPr>
        <w:tc>
          <w:tcPr>
            <w:tcW w:w="7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32,989,082</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75,758,781</w:t>
            </w:r>
          </w:p>
        </w:tc>
      </w:tr>
      <w:tr>
        <w:trPr>
          <w:trHeight w:val="263"/>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33,112,032</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76,171,459</w:t>
            </w:r>
          </w:p>
        </w:tc>
        <w:tc>
          <w:tcPr>
            <w:tcW w:w="100" w:type="dxa"/>
            <w:vAlign w:val="bottom"/>
            <w:tcBorders>
              <w:bottom w:val="single" w:sz="8" w:color="CCEEFF"/>
            </w:tcBorders>
          </w:tcPr>
          <w:p>
            <w:pPr>
              <w:spacing w:after="0"/>
              <w:rPr>
                <w:sz w:val="22"/>
                <w:szCs w:val="22"/>
                <w:color w:val="auto"/>
              </w:rPr>
            </w:pPr>
          </w:p>
        </w:tc>
      </w:tr>
      <w:tr>
        <w:trPr>
          <w:trHeight w:val="197"/>
        </w:trPr>
        <w:tc>
          <w:tcPr>
            <w:tcW w:w="7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948,921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139,927</w:t>
            </w:r>
          </w:p>
        </w:tc>
      </w:tr>
      <w:tr>
        <w:trPr>
          <w:trHeight w:val="209"/>
        </w:trPr>
        <w:tc>
          <w:tcPr>
            <w:tcW w:w="7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948,921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200,001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103,000</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4,797,000</w:t>
            </w: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2,250,000</w:t>
            </w:r>
          </w:p>
        </w:tc>
        <w:tc>
          <w:tcPr>
            <w:tcW w:w="20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2,250,000</w:t>
            </w: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4,101,922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7,186,927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Contingencies and Commitments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subject to redemption, 3,241,414 and 7,500,000 shares at redemption value as of June</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 2022 and December 31, 2021, respectively</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32,989,082</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75,758,781</w:t>
            </w:r>
          </w:p>
        </w:tc>
      </w:tr>
      <w:tr>
        <w:trPr>
          <w:trHeight w:val="216"/>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no par value; unlimited shares authorized; none issued and outstanding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no par value; unlimited shares authorized; 1,875,000 shares issued and outstanding</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3,241,414 and 7,500,000 shares subject to possible redemption) at June 30, 2022 and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71,420</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(4,075,392)</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(6,799,249)</w:t>
            </w:r>
          </w:p>
        </w:tc>
      </w:tr>
      <w:tr>
        <w:trPr>
          <w:trHeight w:val="210"/>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(3,978,972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(6,774,249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33,112,032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76,171,459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7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155,688</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(852,808)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(155,688)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(1,272,591)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1,889</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bank</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599,176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(1,650,000)</w:t>
            </w: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4,197,000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12,562,500</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648,055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(1,648,070)</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4,252,632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12,566,298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(204,753)</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(1,803,758)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2,980,041</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12,269,092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 Ordinary</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subject to possible redemption</w:t>
            </w:r>
          </w:p>
        </w:tc>
        <w:tc>
          <w:tcPr>
            <w:tcW w:w="3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4,424,355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7,500,000</w:t>
            </w:r>
          </w:p>
        </w:tc>
        <w:tc>
          <w:tcPr>
            <w:tcW w:w="3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5,962,177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Basic and diluted net income (loss) per share, Ordinary shares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0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subject to possible redemption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(0.03)</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0.38</w:t>
            </w: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1.31</w:t>
            </w:r>
          </w:p>
        </w:tc>
        <w:tc>
          <w:tcPr>
            <w:tcW w:w="0" w:type="dxa"/>
            <w:vAlign w:val="bottom"/>
          </w:tcPr>
          <w:p>
            <w:pPr>
              <w:spacing w:after="0"/>
              <w:rPr>
                <w:sz w:val="1"/>
                <w:szCs w:val="1"/>
                <w:color w:val="auto"/>
              </w:rPr>
            </w:pPr>
          </w:p>
        </w:tc>
      </w:tr>
      <w:tr>
        <w:trPr>
          <w:trHeight w:val="197"/>
        </w:trPr>
        <w:tc>
          <w:tcPr>
            <w:tcW w:w="50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 Non-</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ordinary shares</w:t>
            </w:r>
          </w:p>
        </w:tc>
        <w:tc>
          <w:tcPr>
            <w:tcW w:w="3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1,875,000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1,875,000</w:t>
            </w:r>
          </w:p>
        </w:tc>
        <w:tc>
          <w:tcPr>
            <w:tcW w:w="3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1,875,000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1,875,000</w:t>
            </w:r>
          </w:p>
        </w:tc>
        <w:tc>
          <w:tcPr>
            <w:tcW w:w="0" w:type="dxa"/>
            <w:vAlign w:val="bottom"/>
          </w:tcPr>
          <w:p>
            <w:pPr>
              <w:spacing w:after="0"/>
              <w:rPr>
                <w:sz w:val="1"/>
                <w:szCs w:val="1"/>
                <w:color w:val="auto"/>
              </w:rPr>
            </w:pPr>
          </w:p>
        </w:tc>
      </w:tr>
      <w:tr>
        <w:trPr>
          <w:trHeight w:val="147"/>
        </w:trPr>
        <w:tc>
          <w:tcPr>
            <w:tcW w:w="508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Basic and diluted net income (loss) per share, Non-redeemable</w:t>
            </w:r>
          </w:p>
        </w:tc>
        <w:tc>
          <w:tcPr>
            <w:tcW w:w="3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(0.03)</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0.38</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gridSpan w:val="12"/>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FOR THE THREE AND MONTHS ENDED JUNE 30, 2022</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4620" w:type="dxa"/>
            <w:vAlign w:val="bottom"/>
          </w:tcPr>
          <w:p>
            <w:pPr>
              <w:spacing w:after="0"/>
              <w:rPr>
                <w:sz w:val="20"/>
                <w:szCs w:val="20"/>
                <w:color w:val="auto"/>
              </w:rPr>
            </w:pPr>
          </w:p>
        </w:tc>
        <w:tc>
          <w:tcPr>
            <w:tcW w:w="2740" w:type="dxa"/>
            <w:vAlign w:val="bottom"/>
            <w:gridSpan w:val="7"/>
          </w:tcPr>
          <w:p>
            <w:pPr>
              <w:ind w:left="6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Shareholder ’</w:t>
            </w: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(6,799,249)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(6,774,249)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for ordinary shares to redemption amount</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8,781</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3,184,794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3,184,794</w:t>
            </w:r>
          </w:p>
        </w:tc>
      </w:tr>
      <w:tr>
        <w:trPr>
          <w:trHeight w:val="209"/>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(3,605,674)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(3,580,674)</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Face value of convertible promissory note in excess of fair</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71,420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71,420</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for ordinary shares to redemption amount</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(264,965)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(264,965)</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(204,753)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(204,753)</w:t>
            </w:r>
          </w:p>
        </w:tc>
      </w:tr>
      <w:tr>
        <w:trPr>
          <w:trHeight w:val="209"/>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2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71,420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(4,075,392)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(3,978,972)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700" w:type="dxa"/>
            <w:vAlign w:val="bottom"/>
            <w:gridSpan w:val="12"/>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FOR THE THREE AND SIX MONTHS ENDED JUNE 30, 2021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4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7"/>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Shareholder ’</w:t>
            </w:r>
          </w:p>
        </w:tc>
      </w:tr>
      <w:tr>
        <w:trPr>
          <w:trHeight w:val="223"/>
        </w:trPr>
        <w:tc>
          <w:tcPr>
            <w:tcW w:w="4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2021</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(22,021,001)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(21,996,001)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for ordinary shares to redemption amount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(1,868)</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14,072,850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14,072,850</w:t>
            </w:r>
          </w:p>
        </w:tc>
      </w:tr>
      <w:tr>
        <w:trPr>
          <w:trHeight w:val="209"/>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2021</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(7,950,019)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(7,925,019)</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for ordinary shares to redemption amount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(1,889)</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(1,803,758)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(1,803,758)</w:t>
            </w:r>
          </w:p>
        </w:tc>
      </w:tr>
      <w:tr>
        <w:trPr>
          <w:trHeight w:val="209"/>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2021</w:t>
            </w: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2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(9,755,666)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(9,730,666)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2,980,041</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12,269,092</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(56,183)</w:t>
            </w:r>
          </w:p>
        </w:tc>
        <w:tc>
          <w:tcPr>
            <w:tcW w:w="6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(3,757)</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(4,197,000)</w:t>
            </w:r>
          </w:p>
        </w:tc>
        <w:tc>
          <w:tcPr>
            <w:tcW w:w="6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(12,562,500)</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600</w:t>
            </w:r>
          </w:p>
        </w:tc>
        <w:tc>
          <w:tcPr>
            <w:tcW w:w="6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(30,464)</w:t>
            </w:r>
          </w:p>
        </w:tc>
        <w:tc>
          <w:tcPr>
            <w:tcW w:w="6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80" w:type="dxa"/>
            <w:vAlign w:val="bottom"/>
          </w:tcPr>
          <w:p>
            <w:pPr>
              <w:spacing w:after="0"/>
              <w:rPr>
                <w:sz w:val="18"/>
                <w:szCs w:val="18"/>
                <w:color w:val="auto"/>
              </w:rPr>
            </w:pPr>
          </w:p>
        </w:tc>
      </w:tr>
      <w:tr>
        <w:trPr>
          <w:trHeight w:val="230"/>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808,994</w:t>
            </w:r>
          </w:p>
        </w:tc>
        <w:tc>
          <w:tcPr>
            <w:tcW w:w="6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29,440</w:t>
            </w:r>
          </w:p>
        </w:tc>
      </w:tr>
      <w:tr>
        <w:trPr>
          <w:trHeight w:val="209"/>
        </w:trPr>
        <w:tc>
          <w:tcPr>
            <w:tcW w:w="66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(494,012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(262,703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6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of cash into Trust Account</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(200,001)</w:t>
            </w:r>
          </w:p>
        </w:tc>
        <w:tc>
          <w:tcPr>
            <w:tcW w:w="6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43,025,883</w:t>
            </w:r>
          </w:p>
        </w:tc>
        <w:tc>
          <w:tcPr>
            <w:tcW w:w="62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42,825,882</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200,001</w:t>
            </w:r>
          </w:p>
        </w:tc>
        <w:tc>
          <w:tcPr>
            <w:tcW w:w="6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convertible promissory note</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173,820</w:t>
            </w:r>
          </w:p>
        </w:tc>
        <w:tc>
          <w:tcPr>
            <w:tcW w:w="6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ordinary shares</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(43,025,883)</w:t>
            </w:r>
          </w:p>
        </w:tc>
        <w:tc>
          <w:tcPr>
            <w:tcW w:w="62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(42,652,062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(320,192)</w:t>
            </w:r>
          </w:p>
        </w:tc>
        <w:tc>
          <w:tcPr>
            <w:tcW w:w="6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(262,703)</w:t>
            </w: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404,345</w:t>
            </w:r>
          </w:p>
        </w:tc>
        <w:tc>
          <w:tcPr>
            <w:tcW w:w="6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907,184</w:t>
            </w:r>
          </w:p>
        </w:tc>
        <w:tc>
          <w:tcPr>
            <w:tcW w:w="80" w:type="dxa"/>
            <w:vAlign w:val="bottom"/>
          </w:tcPr>
          <w:p>
            <w:pPr>
              <w:spacing w:after="0"/>
              <w:rPr>
                <w:sz w:val="19"/>
                <w:szCs w:val="19"/>
                <w:color w:val="auto"/>
              </w:rPr>
            </w:pPr>
          </w:p>
        </w:tc>
      </w:tr>
      <w:tr>
        <w:trPr>
          <w:trHeight w:val="223"/>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Ending</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644,481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value of ordinary shares subject to redemption</w:t>
            </w:r>
          </w:p>
        </w:tc>
        <w:tc>
          <w:tcPr>
            <w:tcW w:w="13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256,184</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80" w:type="dxa"/>
            <w:vAlign w:val="bottom"/>
          </w:tcPr>
          <w:p>
            <w:pPr>
              <w:spacing w:after="0"/>
              <w:rPr>
                <w:sz w:val="21"/>
                <w:szCs w:val="2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Bull Horn Holdings Corp. (the “Company” or “Bull Horn”) is a blank check company incorporated in the British Virgin Islands on November 27, 2018. The Company was formed for the purpose of acquiring, engaging in a share exchange, share reconstruction and amalgamation with, purchasing all or substantially all of the assets of, entering into contractual arrangements with, or engaging in any other similar business combination with one or more businesses or entities (“Business Combination”). Although the Company is not limited to a particular industry or geographic region for purposes of consummating a Business Combination, the Company intends to focus on businesses in the sports (including sports franchises or assets related to sports franchises and sports technology), entertainment and brands sectors.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the Company had not yet commenced any operations. All activity through June 30, 2022 relates to the Company’s formation, its initial public offering (the “Initial Public Offering”) and identifying a target company for a Business Combination. The Company will not generate any operating revenues until after the completion of a Business Combination, at the earliest. The Company will generate non-operating income in the form of interest income from the proceeds derived from the Initial Public Offering.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registration statement for the Initial Public Offering was declared effective on October 29, 2020. On November 3, 2020, the Company consummated the Initial Public Offering of 7,500,000 units (the “Units” and, with respect to the ordinary shares included in the Units sold, the “Public Shares”) at $10.00 per Unit, generating gross proceeds of $75,000,000. Each Unit consists of a Public Share and one redeemable warrant (the “Public Warrants”). See Note 3.</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3,750,000 warrants (the “Private Placement Warrants”) at a price of $1.00 per Private Warrant in a private placement to the Company’s sponsor, Bull Horn Holdings Sponsor LLC (the “Sponsor”), Imperial Capital, LLC (“Imperial”), I-Bankers Securities, Inc. (“I-Bankers”) and Northland Securities, Inc. (“Northland”) (and their designees), generating gross proceeds of $3,750,000, which is described in Note 4. Each of these Private Placement Warrants allow the holder thereof to purchase one ordinary share of the Company (the “ordinary share”).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Transaction costs amounted to $5,941,564 consisting of $1,500,000 of underwriting fees, $2,250,000 of deferred underwriting fees, $493,264 of other offering costs, and $1,698,300 for the fair value of the founder shares attributable to the anchor investors.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the closing of the Initial Public Offering on November 3, 2020, an amount of $75,750,000 ($10.10 per Unit) from the net proceeds of the sale of the Units in the Initial Public Offering and the sale of the Private Placement Warrants was placed in a trust account (the “Trust Account”) located in the United States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to the Company’s shareholders, as described below.</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 fair market value equal to at least 80% of the balance in the Trust Account (less any deferred underwriting commissions and taxes payable on interest earned) at the time of the signing of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DESCRIPTION OF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will provide its public shareholders with the opportunity to redeem all or a portion of their Public Shares upon the completion of a Business Combination either (i) in connection with a shareholder meeting called to approve the Business Combination or (ii) by means of a tender offer. In connection with a proposed Business Combination, the Company may seek shareholder approval of a Business Combination at a meeting called for such purpose at which shareholders may seek to redeem their shares, regardless of whether they vote for or against a Business Combination. The Company will proceed with a Business Combination only if the Company has net tangible assets of at least $5,000,001 immediately prior to or upon such consummation of a Business Combination and, if the Company seeks shareholder approval, a majority of the outstanding shares voted are voted in favor of the Business Combination.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seeking redemption rights with respect to 15% or more of the Public Shares without the Company’s prior written consent.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shareholders will be entitled to redeem their Public Shares for a pro rata portion of the amount then in the Trust Account (initially $10.10 per share, plus any pro rata interest earned on the funds held in the Trust Account and not previously released to the Company to pay its tax obligations). The per-share amount to be distributed to shareholders who redeem their Public Shares will not be reduced by the deferred underwriting commissions the Company will pay to the underwriters (as discussed in Note 6). There will be no redemption rights upon the completion of a Business Combination with respect to the Company’s warrants.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shareholder vote is not required and the Company does not decide to hold a shareholder vote for business or other legal reasons, the Company will, pursuant to its Amended and Restated Memorandum and Articles of Association, offer such redemption pursuant to the tender offer rules of the Securities and Exchange Commission (“SEC”), and file tender offer documents containing substantially the same information as would be included in a proxy statement with the SEC prior to completing a Business Combination.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Sponsor and any of the Company’s officers or directors that may hold founder shares (the “initial shareholders”), Imperial and I-Bankers have agreed (a) to vote their founder shares, and any Public Shares purchased during or after the Initial Public Offering in favor of a Business Combination, (b) not to propose an amendment to the Company’s Memorandum and Articles of Association with respect to the Company’s pre-Business Combination activities prior to the consummation of a Business Combination unless the Company provides dissenting public shareholders with the opportunity to redeem their Public Shares in conjunction with any such amendment; (c) not to redeem any shares (including the founder shares) into the right to receive cash from the Trust Account in connection with a shareholder vote to approve a Business Combination (or to sell any shares in a tender offer in connection with a Business Combination if the Company does not seek shareholder approval in connection therewith) or a vote to amend the provisions of the Memorandum and Articles of Association relating to shareholders’ rights of pre-Business Combination activity and (d) that the founder shares shall not participate in any liquidating distributions upon winding up if a Business Combination is not consummated. However, the initial shareholders will be entitled to liquidating distributions from the Trust Account with respect to any Public Shares purchased during or after the Initial Public Offering if the Company fails to complete its Business Combination.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DESCRIPTION OF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262"/>
        <w:spacing w:after="0" w:line="253" w:lineRule="auto"/>
        <w:rPr>
          <w:sz w:val="20"/>
          <w:szCs w:val="20"/>
          <w:color w:val="auto"/>
        </w:rPr>
      </w:pPr>
      <w:r>
        <w:rPr>
          <w:rFonts w:ascii="Times New Roman" w:cs="Times New Roman" w:eastAsia="Times New Roman" w:hAnsi="Times New Roman"/>
          <w:sz w:val="18"/>
          <w:szCs w:val="18"/>
          <w:color w:val="auto"/>
        </w:rPr>
        <w:t>The Company will have until November 3, 2022 (originally May 3, 2022) to consummate a Business Combination (the “Combination Period”). 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per-share price, payable in cash, equal to the aggregate amount then on deposit in the Trust Account, including interest earned (net of taxes payable and less interest to pay dissolution expenses up to $50,000),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the remaining shareholders and the Company’s board of directors, proceed to commence a voluntary liquidation and thereby a formal dissolution of the Company, subject in each case to its obligations to provide for claims of creditors and the requirements of applicable law. The underwriters of the Initial Public Offering have agreed to waive its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amount initially funded in the Trust Account ($10.10 per share).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vendor for services rendered or products sold to the Company, or a prospective target business with which the Company has discussed entering into a transaction agreement, reduce the amounts in the Trust Account to below $10.10 per share,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8"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8"/>
          <w:szCs w:val="18"/>
          <w:color w:val="auto"/>
        </w:rPr>
        <w:t>On April 18, 2022, the Company entered into an Agreement and Plan of Merger (the “Merger Agreement”) with BH Merger Sub Inc., a Delaware corporation and wholly-owned subsidiary of the Company (“Merger Sub”), and Coeptis Therapeutics, Inc., a Delaware corporation (“Coeptis”). The transactions contemplated by the Merger Agreement are intended to serve as the Company’s initial Business Combination. See Note 6 for further information.</w:t>
      </w:r>
    </w:p>
    <w:p>
      <w:pPr>
        <w:spacing w:after="0" w:line="180" w:lineRule="exact"/>
        <w:rPr>
          <w:sz w:val="20"/>
          <w:szCs w:val="20"/>
          <w:color w:val="auto"/>
        </w:rPr>
      </w:pPr>
    </w:p>
    <w:p>
      <w:pPr>
        <w:jc w:val="both"/>
        <w:ind w:firstLine="262"/>
        <w:spacing w:after="0" w:line="266" w:lineRule="auto"/>
        <w:rPr>
          <w:sz w:val="20"/>
          <w:szCs w:val="20"/>
          <w:color w:val="auto"/>
        </w:rPr>
      </w:pPr>
      <w:r>
        <w:rPr>
          <w:rFonts w:ascii="Times New Roman" w:cs="Times New Roman" w:eastAsia="Times New Roman" w:hAnsi="Times New Roman"/>
          <w:sz w:val="18"/>
          <w:szCs w:val="18"/>
          <w:color w:val="auto"/>
        </w:rPr>
        <w:t>On April 26, 2022, the Company held a special meeting of its shareholders to extent its business combination deadline from May 3, 2022 to November 3, 2022. In connection with such meeting, all shareholders were afforded the opportunity to redeem their ordinary shares for their pro rata portion of the Trust Account. As a result, the amount held in the Trust Account as of the date of this report has been materially reduced. See Note 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$84,153 in its operating bank accounts to be used for a Business Combination or to repurchase or redeem its ordinary shares in connection therewith and working capital deficit of $1,128,972.</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November 3, 2022 to consummate a Business Combination. It is uncertain that the Company will be able to consummate a Business Combination by this time. If a Business Combination is not consummated by this date and an extension not requested by the Sponsor, there will be a mandatory liquidation and subsequent dissolution of the Company. Management has determined that the mandatory liquidation, should a Business Combination not occur and an extension is not requested by the Sponsor, and potential subsequent dissolution raises substantial doubt about the Company’s ability to continue as a going concern. No adjustments have been made to the carrying amounts of assets or liabilities should the Company be required to liquidate after November 3, 2022.</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DESCRIPTION OF ORGANIZATION AND BUSINESS OPERATIONS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262"/>
        <w:spacing w:after="0" w:line="258"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the existence of inflationary trends on the U.S. economy and the recent increase in interest rates and has concluded that while it is reasonably possible that such uncertainties, and governmental and societal actions to manage them, could have a negative effect on the Company’s or Coeptis’ financial position, results of operations and/or the ability to closing the Merger Agreement with Coeptis, the specific impact is not readily determinable as of the date of the condensed consolidated financial statements. The condensed consolidated financial statements do not include any adjustments that might result from the outcome of these or similar uncertainties.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condensed consolidated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Company’s Annual Report on Form 10-K as filed with the SEC on April 8, 2022. The interim results for the three and six months ended June 30, 2022 are not necessarily indicative of the results to be expected for the year ending December 31, 2022 or for any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subsidiary where the Company has the ability to exercise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One of the more significant accounting estimates included in these condensed consolidated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June 30, 2022 and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Held in Trust Account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June 30, 2022 and December 31, 2021, substantially all of the assets held in the Trust Account were held in money market funds which invest primarily in U.S. Treasury securities. The Company’s investments held in the Trust Account are classified as trading securities. Trading securities are presented on the condensed consolidated balance sheet at fair value at the end of each reporting period. Gains and losses resulting from the change in fair value of investments held in Trust Account are included in interest earned on marketable securities held in Trust Account in the accompanying condensed consolidated statements of operations. The estimated fair values of investments held in Trust Account are determined using available market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2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8"/>
          <w:szCs w:val="18"/>
          <w:color w:val="auto"/>
        </w:rPr>
        <w:t>Offering costs consisted of legal, accounting and other expenses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allocated to warrant liabilities were expensed as incurred in the statements of operations. Offering costs associated with the ordinary shares issued were initially charged to temporary equity and then accreted to ordinary shares subject to redemption upon the completion of the Initial Public Offering. Offering costs amounting to $4,243,264 were charged to temporary equity upon the completion of the Initial Public Offering. Transaction costs related to derivative liability incurred through the balance sheets date and directly related to the Initial Public Offering amounting to $112,500 were charged to operations upon the completion of the Initial Public Offering.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Subject to Possible Redemption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its ordinary shares subject to possible redemption in accordance with the guidance in Accounting Standards Codification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ordinary shares feature certain redemption rights that are considered to be outside of the Company’s control and subject to occurrence of uncertain future events. Accordingly, ordinary shares subject to possible redemption are presented at redemption value as temporary equity, outside of the shareholders’ deficit section of the Company’s condensed consolidated balance sheets.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ordinary shares to equal the redemption value at the end of each reporting period. Increases or decreases in the carrying amount of redeemable ordinary shares are affected by charges against ordinary shares and accumulated deficit.</w:t>
      </w:r>
    </w:p>
    <w:p>
      <w:pPr>
        <w:spacing w:after="0" w:line="176"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8"/>
          <w:szCs w:val="18"/>
          <w:color w:val="auto"/>
        </w:rPr>
        <w:t>In connection with the approval of an extension of the Combination Period at a meeting of Company shareholders held on April 26, 2022, certain holders ordinary shares elected to redeem an aggregate of 4,258,586 ordinary shares. As a result, approximately $43,025,883 was paid out of the Trust in connection with the redemptions. On May 3, 2022, May 26, 2022 and June 29, 2022, the Company’s Sponsor (a related party) deposited $66,667 per month into the trust for an aggregate total of $200,001.</w:t>
      </w:r>
    </w:p>
    <w:p>
      <w:pPr>
        <w:spacing w:after="0" w:line="180" w:lineRule="exact"/>
        <w:rPr>
          <w:sz w:val="20"/>
          <w:szCs w:val="20"/>
          <w:color w:val="auto"/>
        </w:rPr>
      </w:pPr>
    </w:p>
    <w:p>
      <w:pPr>
        <w:jc w:val="both"/>
        <w:ind w:firstLine="235"/>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the ordinary shares reflected in the condensed consolidated balance sheets are reconciled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75,000,000</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(1,800,000)</w:t>
            </w:r>
          </w:p>
        </w:tc>
      </w:tr>
      <w:tr>
        <w:trPr>
          <w:trHeight w:val="216"/>
        </w:trPr>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issuance costs</w:t>
            </w:r>
          </w:p>
        </w:tc>
        <w:tc>
          <w:tcPr>
            <w:tcW w:w="4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(4,130,714)</w:t>
            </w:r>
          </w:p>
        </w:tc>
      </w:tr>
      <w:tr>
        <w:trPr>
          <w:trHeight w:val="216"/>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of Anchor Shares</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(1,698,300)</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8,380,218</w:t>
            </w:r>
          </w:p>
        </w:tc>
        <w:tc>
          <w:tcPr>
            <w:tcW w:w="100" w:type="dxa"/>
            <w:vAlign w:val="bottom"/>
            <w:shd w:val="clear" w:color="auto" w:fill="CCEEFF"/>
          </w:tcPr>
          <w:p>
            <w:pPr>
              <w:spacing w:after="0"/>
              <w:rPr>
                <w:sz w:val="19"/>
                <w:szCs w:val="19"/>
                <w:color w:val="auto"/>
              </w:rPr>
            </w:pPr>
          </w:p>
        </w:tc>
      </w:tr>
    </w:tbl>
    <w:p>
      <w:pPr>
        <w:spacing w:after="0" w:line="194"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Ordinary shares subject to possible redemption, 12/31/20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 subject to possible redemption, 12/31/21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 subject to possible redemption, 3/31/22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Less: Redemption of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Add: Remeasurement of carrying value to redemption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 subject to possible redemption, 6/30/22</w:t>
      </w:r>
    </w:p>
    <w:p>
      <w:pPr>
        <w:spacing w:after="0" w:line="288" w:lineRule="exact"/>
        <w:rPr>
          <w:sz w:val="20"/>
          <w:szCs w:val="20"/>
          <w:color w:val="auto"/>
        </w:rPr>
      </w:pPr>
    </w:p>
    <w:p>
      <w:pPr>
        <w:jc w:val="right"/>
        <w:ind w:right="2938"/>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62"/>
        <w:spacing w:after="0"/>
        <w:rPr>
          <w:sz w:val="20"/>
          <w:szCs w:val="20"/>
          <w:color w:val="auto"/>
        </w:rPr>
      </w:pPr>
      <w:r>
        <w:rPr>
          <w:rFonts w:ascii="Times New Roman" w:cs="Times New Roman" w:eastAsia="Times New Roman" w:hAnsi="Times New Roman"/>
          <w:sz w:val="18"/>
          <w:szCs w:val="18"/>
          <w:color w:val="auto"/>
        </w:rPr>
        <w:t>75,751,204</w:t>
      </w:r>
    </w:p>
    <w:p>
      <w:pPr>
        <w:spacing w:after="0" w:line="27" w:lineRule="exact"/>
        <w:rPr>
          <w:sz w:val="20"/>
          <w:szCs w:val="20"/>
          <w:color w:val="auto"/>
        </w:rPr>
      </w:pPr>
    </w:p>
    <w:p>
      <w:pPr>
        <w:ind w:left="1262"/>
        <w:spacing w:after="0"/>
        <w:rPr>
          <w:sz w:val="20"/>
          <w:szCs w:val="20"/>
          <w:color w:val="auto"/>
        </w:rPr>
      </w:pPr>
      <w:r>
        <w:rPr>
          <w:rFonts w:ascii="Times New Roman" w:cs="Times New Roman" w:eastAsia="Times New Roman" w:hAnsi="Times New Roman"/>
          <w:sz w:val="18"/>
          <w:szCs w:val="18"/>
          <w:color w:val="auto"/>
        </w:rPr>
        <w:t>7,577</w:t>
      </w:r>
    </w:p>
    <w:p>
      <w:pPr>
        <w:spacing w:after="0" w:line="23" w:lineRule="exact"/>
        <w:rPr>
          <w:sz w:val="20"/>
          <w:szCs w:val="20"/>
          <w:color w:val="auto"/>
        </w:rPr>
      </w:pPr>
    </w:p>
    <w:p>
      <w:pPr>
        <w:ind w:left="862"/>
        <w:spacing w:after="0"/>
        <w:rPr>
          <w:sz w:val="20"/>
          <w:szCs w:val="20"/>
          <w:color w:val="auto"/>
        </w:rPr>
      </w:pPr>
      <w:r>
        <w:rPr>
          <w:rFonts w:ascii="Times New Roman" w:cs="Times New Roman" w:eastAsia="Times New Roman" w:hAnsi="Times New Roman"/>
          <w:sz w:val="18"/>
          <w:szCs w:val="18"/>
          <w:color w:val="auto"/>
        </w:rPr>
        <w:t>75,758,781</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(8,781)</w:t>
      </w:r>
    </w:p>
    <w:p>
      <w:pPr>
        <w:spacing w:after="0" w:line="23" w:lineRule="exact"/>
        <w:rPr>
          <w:sz w:val="20"/>
          <w:szCs w:val="20"/>
          <w:color w:val="auto"/>
        </w:rPr>
      </w:pPr>
    </w:p>
    <w:p>
      <w:pPr>
        <w:ind w:left="862"/>
        <w:spacing w:after="0"/>
        <w:rPr>
          <w:sz w:val="20"/>
          <w:szCs w:val="20"/>
          <w:color w:val="auto"/>
        </w:rPr>
      </w:pPr>
      <w:r>
        <w:rPr>
          <w:rFonts w:ascii="Times New Roman" w:cs="Times New Roman" w:eastAsia="Times New Roman" w:hAnsi="Times New Roman"/>
          <w:sz w:val="18"/>
          <w:szCs w:val="18"/>
          <w:color w:val="auto"/>
        </w:rPr>
        <w:t>75,750,000</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(43,025,883)</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264,965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629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1" w:lineRule="exact"/>
        <w:rPr>
          <w:sz w:val="20"/>
          <w:szCs w:val="20"/>
          <w:color w:val="auto"/>
        </w:rPr>
      </w:pPr>
    </w:p>
    <w:p>
      <w:pPr>
        <w:ind w:left="862" w:hanging="862"/>
        <w:spacing w:after="0"/>
        <w:tabs>
          <w:tab w:leader="none" w:pos="86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32,989,082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629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10629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2">
            <w:col w:w="8738" w:space="720"/>
            <w:col w:w="1782"/>
          </w:cols>
          <w:pgMar w:left="320" w:top="684" w:right="339" w:bottom="1440" w:gutter="0" w:footer="0" w:header="0"/>
          <w:type w:val="continuous"/>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6 for the current amount held in the Trust Account and the ordinary shares currently subject to redemption following the Company’s April 26, 2022 special meeting of shareholders to extent the Business Combination deadline date from May 3, 2022 to November 3,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the Public Warrants and Private Placement Warrants (together with the Public Warrants, the “Warrants”) in accordance with the guidance contained in ASC 815-40, under which the Warrants do not meet the criteria for equity treatment and must be recorded as liabilities. Accordingly, the Company classifies the Warrants as liabilities at their fair value and adjusts the Warrants to fair value in respect of each reporting period. This liability is subject to re-measurement at each balance sheet date until the Warrants are exercised, and any change in fair value is recognized in the statements of operations. The Private Placement Warrants and the Public Warrants for periods where no observable traded price was available are valued using a binomial lattice simulation model. For periods subsequent to the detachment of the Public Warrants from the Units, the Public Warrant quoted market price was used as the fair value as of each relevant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condensed consolidated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ASC Topic 740 prescribes a recognition threshold and a measurement attribute for the condensed consolidated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British Virgin Islands is the Company’s only major tax jurisdiction. The Company recognizes accrued interest and penalties related to unrecognized tax benefits, if any, as income tax expense. There were no unrecognized tax benefits as of June 30, 2022 and December 31, 2021 and no amounts accrued for interest and penalties. The Company is currently not aware of any issues under review that could result in significant payments, accruals or material deviation from its position.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be subject to potential examination by foreign taxing authorities in the area of income taxes. These potential examinations may include questioning the timing and amount of deductions, the nexus of income among various tax jurisdictions and compliance with foreign tax laws. The Company’s management does not expect that the total amount of unrecognized tax benefits will materially change over the next twelve months.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considered to be an exempted British Virgin Islands company with no connection to any other taxable jurisdiction and is presently not subject to income taxes or income tax filing requirements in the British Virgin Islands or the United States. As part of the transactions contemplated by the Merger Agreement, the Company has agreed to redomicile as a Delaware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Financial Accounting Standards Board’s (“FASB”) ASC Topic 260, “Earnings Per Share”. Net income per ordinary share is computed by dividing net income by the weighted average number of ordinary shares outstanding for the period. Accretion associated with the redeemable shares of ordinary shares is excluded from earnings per share as the redemption value approximates fair value.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calculation of diluted income per share does not consider the effect of the warrants issued in connection with the (i) Initial Public Offering, and</w:t>
      </w:r>
    </w:p>
    <w:p>
      <w:pPr>
        <w:spacing w:after="0" w:line="27" w:lineRule="exact"/>
        <w:rPr>
          <w:sz w:val="20"/>
          <w:szCs w:val="20"/>
          <w:color w:val="auto"/>
        </w:rPr>
      </w:pPr>
    </w:p>
    <w:p>
      <w:pPr>
        <w:jc w:val="both"/>
        <w:ind w:firstLine="8"/>
        <w:spacing w:after="0" w:line="253" w:lineRule="auto"/>
        <w:tabs>
          <w:tab w:leader="none" w:pos="28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placement since the exercise of the warrants is contingent upon the occurrence of future events. The Public Warrants are exercisable to purchase 7,500,000 ordinary shares in the aggregate. As of June 30, 2022 and 2021, the Company did not have any dilutive securities or other contracts that could, potentially, be exercised or converted into ordinary shares and then share in the earnings of the Company. As a result, diluted net income per ordinary share is the same as basic net income per ordinary share for the periods presented.</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per ordinary share (in dollars, except per share amounts) as of the dates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0"/>
                <w:szCs w:val="10"/>
                <w:color w:val="auto"/>
              </w:rPr>
            </w:pPr>
          </w:p>
        </w:tc>
        <w:tc>
          <w:tcPr>
            <w:tcW w:w="840" w:type="dxa"/>
            <w:vAlign w:val="bottom"/>
          </w:tcPr>
          <w:p>
            <w:pPr>
              <w:jc w:val="right"/>
              <w:ind w:right="229"/>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60" w:type="dxa"/>
            <w:vAlign w:val="bottom"/>
          </w:tcPr>
          <w:p>
            <w:pPr>
              <w:spacing w:after="0"/>
              <w:rPr>
                <w:sz w:val="10"/>
                <w:szCs w:val="10"/>
                <w:color w:val="auto"/>
              </w:rPr>
            </w:pPr>
          </w:p>
        </w:tc>
        <w:tc>
          <w:tcPr>
            <w:tcW w:w="820" w:type="dxa"/>
            <w:vAlign w:val="bottom"/>
          </w:tcPr>
          <w:p>
            <w:pPr>
              <w:jc w:val="right"/>
              <w:ind w:right="209"/>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0"/>
                <w:szCs w:val="10"/>
                <w:color w:val="auto"/>
              </w:rPr>
            </w:pPr>
          </w:p>
        </w:tc>
        <w:tc>
          <w:tcPr>
            <w:tcW w:w="720" w:type="dxa"/>
            <w:vAlign w:val="bottom"/>
          </w:tcPr>
          <w:p>
            <w:pPr>
              <w:jc w:val="right"/>
              <w:ind w:right="249"/>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0"/>
                <w:szCs w:val="10"/>
                <w:color w:val="auto"/>
              </w:rPr>
            </w:pPr>
          </w:p>
        </w:tc>
        <w:tc>
          <w:tcPr>
            <w:tcW w:w="720" w:type="dxa"/>
            <w:vAlign w:val="bottom"/>
          </w:tcPr>
          <w:p>
            <w:pPr>
              <w:jc w:val="right"/>
              <w:ind w:right="249"/>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04"/>
        </w:trPr>
        <w:tc>
          <w:tcPr>
            <w:tcW w:w="238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i w:val="1"/>
                <w:iCs w:val="1"/>
                <w:color w:val="auto"/>
              </w:rPr>
              <w:t>Basic and diluted net income (loss) per</w:t>
            </w: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ordinary share</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Numerator: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Allocation of net income (loss)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(143,808)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(60,945)</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(1,443,039)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(360,760)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2,267,083</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712,958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9,815,274</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2,453,818</w:t>
            </w:r>
          </w:p>
        </w:tc>
        <w:tc>
          <w:tcPr>
            <w:tcW w:w="0" w:type="dxa"/>
            <w:vAlign w:val="bottom"/>
          </w:tcPr>
          <w:p>
            <w:pPr>
              <w:spacing w:after="0"/>
              <w:rPr>
                <w:sz w:val="1"/>
                <w:szCs w:val="1"/>
                <w:color w:val="auto"/>
              </w:rPr>
            </w:pPr>
          </w:p>
        </w:tc>
      </w:tr>
      <w:tr>
        <w:trPr>
          <w:trHeight w:val="148"/>
        </w:trPr>
        <w:tc>
          <w:tcPr>
            <w:tcW w:w="2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Denominator: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outstanding</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4,424,355</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1,875,000</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7,500,000</w:t>
            </w: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1,875,000</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5,962,177</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1,875,000</w:t>
            </w: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7,500,000</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1,875,000</w:t>
            </w:r>
          </w:p>
        </w:tc>
        <w:tc>
          <w:tcPr>
            <w:tcW w:w="0" w:type="dxa"/>
            <w:vAlign w:val="bottom"/>
          </w:tcPr>
          <w:p>
            <w:pPr>
              <w:spacing w:after="0"/>
              <w:rPr>
                <w:sz w:val="1"/>
                <w:szCs w:val="1"/>
                <w:color w:val="auto"/>
              </w:rPr>
            </w:pPr>
          </w:p>
        </w:tc>
      </w:tr>
      <w:tr>
        <w:trPr>
          <w:trHeight w:val="20"/>
        </w:trPr>
        <w:tc>
          <w:tcPr>
            <w:tcW w:w="238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4"/>
                <w:szCs w:val="14"/>
                <w:color w:val="auto"/>
              </w:rPr>
              <w:t>Basic and diluted net income (loss)</w:t>
            </w: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380" w:type="dxa"/>
            <w:vAlign w:val="bottom"/>
            <w:vMerge w:val="continue"/>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(0.19)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0.38</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1.31</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88"/>
        </w:trPr>
        <w:tc>
          <w:tcPr>
            <w:tcW w:w="2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per ordinary share</w:t>
            </w:r>
          </w:p>
        </w:tc>
        <w:tc>
          <w:tcPr>
            <w:tcW w:w="8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condensed consolidated balance sheets, primarily due to their short-term nature, except for warrant liabilities (see Note 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accounts for their convertible promissory note under ASC 815, Derivatives and Hedging (“ASC 815”). Under 815-15-25, the election can be at the inception of a financial instrument to account for the instrument under the fair value option under ASC 825. In accordance with ASU 2020-06, the Company has made such election for their convertible promissory note. Using the fair value option, the convertible promissory note is required to be recorded at its initial fair value on the date of issuance, and each balance sheet date thereafter. Changes in the estimated fair value of the notes are recognized as a non-cash gain or loss on the condensed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accompanying condensed consolidated financial statements.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Initial Public Offering, the Company sold 7,500,000 Units at a purchase price of $10.00 per Unit. Each Unit consists of one ordinary share and one Public Warrant. Each Public Warrant entitles the holder to purchase one-half of one ordinary share at an exercise price of $11.50 per whole share, subject to adjustment (see Note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and the underwriters of the Initial Public Offering (Imperial, I-Bankers and Northland (and their designees)) purchased an aggregate of 3,750,000 Private Placement Warrants at a price of $1.00 per Private Placement Warrant, of which 2,625,000 Private Placement Warrants were purchased by the Sponsor and 1,125,000 Private Placement Warrants were purchased by Imperial, I-Bankers and Northland ($3,750,000 in the aggregate). The Sponsor, Imperial, I-Bankers and Northland agreed to purchase up to an additional 337,500 Private Placement Warrants at a price of $1.00 per Private Warrant, or an aggregate of $337,500, in the case that the underwriters’ over-allotment option is exercised in full or in part (such over-allotment option was never exercised). Each of these Private Placement Warrants allow the holder thereof to purchase one ordinary share. The proceeds from the sale of the Private Placement Warrants were added to the net proceeds from the Initial Public Offering held in the Trust Account. The Private Placement Warrants are identical to the Public Warrants sold in the Initial Public Offering, except that the Private Placement Warrants only allow the holder thereof to one ordinary share and the ordinary shares issuable upon the exercise of the Private Placement Warrants will not be transferable, assignable or saleable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 and as further described in Note 8.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ind w:firstLine="262"/>
        <w:spacing w:after="0" w:line="266" w:lineRule="auto"/>
        <w:rPr>
          <w:sz w:val="20"/>
          <w:szCs w:val="20"/>
          <w:color w:val="auto"/>
        </w:rPr>
      </w:pPr>
      <w:r>
        <w:rPr>
          <w:rFonts w:ascii="Times New Roman" w:cs="Times New Roman" w:eastAsia="Times New Roman" w:hAnsi="Times New Roman"/>
          <w:sz w:val="18"/>
          <w:szCs w:val="18"/>
          <w:color w:val="auto"/>
        </w:rPr>
        <w:t>In November 2018, in anticipation of the expected issuance of 2,156,250 ordinary shares (referred to as founder shares) to the Sponsor, the Sponsor paid certain of the Company’s deferred offering costs with the $25,000 purchase price of the founder shares. As of December 31, 2018, one founder share was issued to the Sponsor. The remaining 2,156,249 founder shares were issued to the Sponsor on January 28, 2019.</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2,156,250 founder shares included an aggregate of up to 281,250 shares subject to forfeiture by the Sponsor to the extent that the underwriters’ over-allotment was not exercised in full or in part, so that the initial shareholders would collectively own 20% of the Company’s issued and outstanding shares after the Initial Public Offering (assuming the initial shareholders do not purchase any Public Shares in the Initial Public Offering). On December 10, 2020, the underwriters notified the Company that they would not be exercising the over-allotment option and as a result, the Sponsor returned 281,250 founder shares to the Company for no consideration and such founder shares were canceled.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initial shareholders have agreed not to transfer, assign or sell any of the founder shares (except to certain permitted transferees) until, with respect to 50% of the founder shares, the earlier of (i) six months after the date of the consummation of a Business Combination, or (ii) the date on which the closing price of the Company’s ordinary shares equals or exceeds $12.50 per share (as adjusted for share splits, share dividends, reorganizations and recapitalizations) for any 20 trading days within any 30-trading day period commencing after a Business Combination, and, with respect to the remaining 50% of the founder shares, upon six months after the date of the consummation of a Business Combination, or earlier, in each case, if, subsequent to a Business Combination, the Company consummates a subsequent liquidation, merger, share exchange or other similar transaction which results in all of the Company’s shareholders having the right to exchange their ordinary shares for cash, securities or other property.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Assignment of Private Placement Warrants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December 10, 2020, by agreements between the Sponsor, Imperial, I-Bankers and Northland, an aggregate of 375,000 Private Placement Warrants were assigned by Imperial, I-Bankers and Northland to the Sponsor.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from Related Party</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From April 2022 through June 30, 2022, the Sponsor deposited $200,001 into the Company’s Trust Account in connection with the extension of the Combination Period. These funds were provided as an advance to the Company. The advances are non-interest bearing and due on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18, 2018, as amended on December 23, 2019, the Company issued an unsecured promissory note (the “Promissory Note”) to the Sponsor, pursuant to which the Company could borrow up to an aggregate principal amount of $300,000. The note was non-interest bearing and payable on the earlier of (i) December 31, 2020 or (ii) the consummation of the Initial Public Offering. The outstanding balance under the Promissory Note of $194,830 was repaid at the closing of the Initial Public Offering on November 3, 2020. There are no further borrowings available under the Promissory Note.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18, 2022, the Sponsor issued the Promissory Note to the Company, pursuant to which the Company was entitled to borrow up to an aggregate principal amount of $500,000 (the “Second Note”). The Promissory Note is non-interest bearing and payable on the earlier of the date on which the Company consummates a Business Combination or the date that the winding up of the Company is effective. On May 19, 2022, the Sponsor deposited $173,820 of such funds in the operating account. As of June 30, 2022 and December 31, 2021, the outstanding principal balance under the Promissory Notes amounted to an aggregate of $173,820 and $0, respectively. The Convertible Note was valued using the fair value method. The discounted cash flow method was used to value the debt component of the Convertible Note and the Black Scholes Option Pricing Model was used to value the debt conversion option. The convertible promissory note is required to be recorded at its initial fair value on the date of issuance, and each balance sheet date thereafter. Changes in the estimated fair value of the notes are recognized as a non-cash gain or loss on the condensed consolidated statements of operations. The initial fair value of the note on May 19, 2022 was $102,400, which resulted in a contribution of $71,420. The fair value of the loan as of June 30, 2022, was $103,000, which resulted in a change in fair value of the Convertible Promissory Note of $600 recorded in the condensed consolidated statement of operations for the six months ended June 30,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Company’s Sponsor or an affiliate of the Sponsor, or the Company’s officers and directors may, but are not obligated to, loan the Company funds as may be required (“Working Capital Loans”). Such Working Capital Loans would be evidenced by promissory notes. The notes would either be repaid upon consummation of a Business Combination, without interest, or, at the lender’s discretion, up to $1,500,000 of notes may be converted upon consummation of a Business Combination into additional Private Placement Warrants at a price of $1.00 per Private Warrant. In the event that a Business Combination does not close, the Company may use a portion of proceeds held outside the Trust Account to repay the Working Capital Loans but no proceeds held in the Trust Account would be used to repay the Working Capital Loans. As of June 30, 2022 and December 31, 2021, there were no amounts outstanding under the Working Capital Loans.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RELATED PARTY TRANSACTIONS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Sponsor has also agreed to loan funds to the Company to finance the extension of the deadline by which the Company must consummate its initial Business Combination. See Note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Funds</w:t>
      </w:r>
    </w:p>
    <w:p>
      <w:pPr>
        <w:spacing w:after="0" w:line="229" w:lineRule="exact"/>
        <w:rPr>
          <w:sz w:val="20"/>
          <w:szCs w:val="20"/>
          <w:color w:val="auto"/>
        </w:rPr>
      </w:pPr>
    </w:p>
    <w:p>
      <w:pPr>
        <w:jc w:val="both"/>
        <w:ind w:firstLine="292"/>
        <w:spacing w:after="0" w:line="253" w:lineRule="auto"/>
        <w:rPr>
          <w:sz w:val="20"/>
          <w:szCs w:val="20"/>
          <w:color w:val="auto"/>
        </w:rPr>
      </w:pPr>
      <w:r>
        <w:rPr>
          <w:rFonts w:ascii="Times New Roman" w:cs="Times New Roman" w:eastAsia="Times New Roman" w:hAnsi="Times New Roman"/>
          <w:sz w:val="18"/>
          <w:szCs w:val="18"/>
          <w:color w:val="auto"/>
        </w:rPr>
        <w:t>On May 2, 2022, the Company issued a promissory note (the “Note”) in the aggregate principal amount of up to $400,000 to the Sponsor in connection with the extension of the termination date for the Company’s initial Business Combination from May 3, 2022 to November 3, 2022 (the “Termination Date”), which extension was approved by the shareholders of the Company at a special meeting of the Company’s shareholders held on April 26, 2022. Pursuant to the Note, the Sponsor has agreed to loan to the Company up to $400,000 to deposit into the Trust Account in an amount of $66,667 per month to extend the Termination Date on a month-by-month basis through November 3, 2022 as necessary, except that the sixth deposit (if applicable) will be a payment of $66,665 (the “Monthly Extension Amount”). The Note provides that the Monthly Extension Amount will be deposited into the Trust Account commencing on May 3, 2022, and within one business day of the 3rd day of each subsequent month until October 3, 2022 or an earlier date by which the Company completes an initial Business Combination or liquidates as provided for in the M&amp;A, and such amount will be distributed either to: (i) all of the public holders of the Public Shares upon the Company’s liquidation or (ii) the public holders of the Public Shares who elect to have their shares redeemed in connection with the consummation of the initial Business Combination. The Note bears no interest and is repayable in full upon the earlier of (a) the date of the consummation of the initial Business Combination, or (b) the date of the liquidation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Anchor Investors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Six unaffiliated qualified institutional buyers (who are also not affiliated with the Sponsor or any member of the Company’s management team) purchased Units in the Initial Public Offering at a level of 9.9% of the Units subject to the Initial Public Offering (which aggregates to 59.4% of the Units subject to the Initial Public Offering) and entered into subscription agreements with the Sponsor to memorialize their agreement. The Company refers to these investors as “anchor investors.” In consideration of providing these agreements, the anchor investors each purchased membership interests in the Sponsor, for nominal consideration, entitling them to an interest in an aggregate of 270,000 founder shares held by the Sponsor or 45,000 founder shares for each anchor investor (which the Company refers to as the “anchor founder shares”). The anchor founder shares are treated the same in all material respects as the founder shares held by the Sponsor. Discussions with each anchor investor were separate and the arrangements with them are not contingent on each other. Further, to the Company’s knowledge, the anchor investors are not affiliated with each other and are not acting together with regards to the Company. The amount of the fair value of subscription agreements with the anchor investors in excess of the amount paid was treated as contributed capital and offering costs related to the Initial Public Offering.</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subscription agreements with the Sponsor, the anchor investors have not been granted any material additional shareholder or other rights, and are only being issued membership interests in the Sponsor with no right to control the Sponsor or vote or dispose of the anchor founder shares (which will continue to be held by the Sponsor until following the initial Business Combination). Further, the anchor investors are not required to: (i) hold any Units, ordinary shares or warrants they may purchase in the Initial Public Offering or thereafter for any amount time, (ii) vote any ordinary shares they may own at the applicable time in favor of the initial Business Combination or (iii) refrain from exercising their right to redeem their ordinary shares at the time of the initial Business Combination. The purchases by the anchor investors of Units in the Initial Public Offering or the Company’s securities in the open market (or both) could, if they hold such securities, allow the anchor investors or any one of them to assert influence over the Company, including with respect to the initial Business Combination.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COMMITMENTS AND CONTINGENCIES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October 29, 2020, the holders of the founder shares, the Private Placement Warrants and underlying securities, and any securities issued upon conversion of Working Capital Loans (and underlying securities) will be entitled to registration rights pursuant to a registration rights agreement. The holders of at least a majority in interest of the then-outstanding number of these securities are entitled to make up to three demands, excluding short form demands, that the Company register such securities. In addition, the holders have certain “piggy-back” registration rights with respect to registration statements filed subsequent to the consummation of a Business Combination. Notwithstanding the foregoing, Imperial, I-Bankers and Northland may not exercise their demand and “piggyback” registration rights after five (5) and seven (7) years after the effective date of the registration statement and may not exercise its demand rights on more than one occasion.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262"/>
        <w:spacing w:after="0" w:line="266" w:lineRule="auto"/>
        <w:rPr>
          <w:sz w:val="20"/>
          <w:szCs w:val="20"/>
          <w:color w:val="auto"/>
        </w:rPr>
      </w:pPr>
      <w:r>
        <w:rPr>
          <w:rFonts w:ascii="Times New Roman" w:cs="Times New Roman" w:eastAsia="Times New Roman" w:hAnsi="Times New Roman"/>
          <w:sz w:val="18"/>
          <w:szCs w:val="18"/>
          <w:color w:val="auto"/>
        </w:rPr>
        <w:t>The underwriters are entitled to a deferred fee of three percent (3.0%) of the gross proceeds of the Initial Public Offering, or $2,250,000. The deferred fee will be paid in cash upon the closing of a Business Combination from the amounts held in the Trust Account, subject to the terms of the underwriting agreement.</w:t>
      </w:r>
    </w:p>
    <w:p>
      <w:pPr>
        <w:spacing w:after="0" w:line="176" w:lineRule="exact"/>
        <w:rPr>
          <w:sz w:val="20"/>
          <w:szCs w:val="20"/>
          <w:color w:val="auto"/>
        </w:rPr>
      </w:pPr>
    </w:p>
    <w:p>
      <w:pPr>
        <w:jc w:val="both"/>
        <w:ind w:firstLine="262"/>
        <w:spacing w:after="0" w:line="266" w:lineRule="auto"/>
        <w:rPr>
          <w:sz w:val="20"/>
          <w:szCs w:val="20"/>
          <w:color w:val="auto"/>
        </w:rPr>
      </w:pPr>
      <w:r>
        <w:rPr>
          <w:rFonts w:ascii="Times New Roman" w:cs="Times New Roman" w:eastAsia="Times New Roman" w:hAnsi="Times New Roman"/>
          <w:sz w:val="18"/>
          <w:szCs w:val="18"/>
          <w:color w:val="auto"/>
        </w:rPr>
        <w:t>On May 4, 2022, the Company entered into a letter agreement with Imperial, I-Bankers and Northland to amend the underwriters’ deferred fee from Initial Public Offering due upon consummation of a Business Combination from $2,250,000 to $500,000, but only in connection with the Company’s Business Combination with Coeptis.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Coeptis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18, 2022, the Company entered into an Agreement and Plan of Merger (the “Merger Agreement”) with BH Merger Sub Inc., a Delaware corporation and wholly-owned subsidiary of Bull Horn (“Merger Sub”), and Coeptis Therapeutics, Inc., a Delaware corporation (“Coeptis”). The transactions contemplated by the Merger Agreement, if consummated (of which no assurances can be given), would constitute the Company’s Business Combination.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subject to the terms and conditions set forth therein, (i) prior to the closing of the transactions contemplated by the Merger Agreement (the “Closing”), the Company will re-domicile from the British Virgin Islands to the State of Delaware through a statutory re-domestication (the “Domestication”), and (ii) upon the Closing, Merger Sub will merge with and into Coeptis (the “Merger”), with Coeptis continuing as the surviving corporation in the Merger and a wholly-owned subsidiary of the Company (after the Domestication).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Prior to the Merger, all outstanding shares of Coeptis preferred stock will convert or exchange their shares of preferred stock for shares of Coeptis common stock at the applicable ratio in Coeptis organizational documents (the “Preferred Stock Exchange”). In the Merger, (i) all shares of Coeptis common stock issued and outstanding immediately prior to the effective time of the Merger (other than those properly exercising any applicable dissenters rights under Delaware law), but after giving effect to the Preferred Stock Exchange, will be converted into the right to receive a portion of the Merger Consideration (as defined below), (ii) certain issued and outstanding warrants to acquire shares of Coeptis stock (the “Specified Warrants”) will be assumed by the Company and converted into a warrant for shares of Company common stock with its price and number of shares equitably adjusted based on the conversion of the shares of Coeptis common stock into the Merger Consideration (each, an “Assumed Warrant”), (iii) certain outstanding convertible debt of Coeptis (the “Coeptis Convertible Debt”) will be assumed by the Company and be convertible into common stock of the Company (the “Assumed Convertible Debt”) and (iv) any other outstanding securities with the right to convert into or acquire equity securities of Coeptis or its subsidiaries will be terminated. At the Closing, the Company will change its name to “Coeptis Therapeutics Holdings, Inc.”.</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COMMITMENTS AND CONTINGENCIES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aggregate Merger consideration received by Coeptis security holders from the Company at the Closing will have an aggregate value equal to (the “Merger Consideration”) (i) $175,000,000, minus (or plus if positive), (ii) the amount of Coeptis outstanding indebtedness as of immediately prior to the Closing (excluding Permitted Debt, as described below), net of its cash as of immediately prior to the Closing, minus (iii) the amount of Coeptis outstanding unpaid transaction expenses and transaction bonuses as of the Closing. The Merger Consideration will be payable, (a) in the case of Coeptis stockholders, solely in new shares of Company common stock, with each share of Company common stock valued at the price per share (the “Redemption Price”) at which each share of Company common stock is redeemed or converted pursuant to the redemption by the Company of its public shareholders in connection with the Company’s initial Business Combination, as required by the M&amp;A (as defined below) and the Company’s Initial Public Offering prospectus (the “Closing Redemption”), and (b) with respect to the holders of the Specified Warrants, by the assumption of such warrants by the Company as Assumed Warrants. The Merger Consideration deliverable to Coeptis stockholders will be allocated pro rata after giving effect to the Preferred Stock Exchange and deducting the value attributable to the Assumed Warrants as if the Specified Warrants that become Assumed Warrants were exercised on a net exercise basis as of immediately prior to the Closing. The Coeptis Convertible Debt, along with (i) certain other outstanding indebtedness of Coeptis as of the date of the Merger Agreement (which together with the Coeptis Convertible Debt, has aggregate outstanding obligations of approximately $3.9 million as of the date of the Merger Agreement), and (ii) certain other indebtedness that Coeptis is permitted to incur between the signing of the Merger Agreement and the Closing, will not affect the Merger Consideration payable to Coeptis security holders (the Coeptis Convertible Debt and such other indebtedness, “Permitted Debt”).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of Combination Period; Sponsor Note</w:t>
      </w:r>
    </w:p>
    <w:p>
      <w:pPr>
        <w:spacing w:after="0" w:line="229" w:lineRule="exact"/>
        <w:rPr>
          <w:sz w:val="20"/>
          <w:szCs w:val="20"/>
          <w:color w:val="auto"/>
        </w:rPr>
      </w:pPr>
    </w:p>
    <w:p>
      <w:pPr>
        <w:jc w:val="both"/>
        <w:ind w:firstLine="262"/>
        <w:spacing w:after="0" w:line="254" w:lineRule="auto"/>
        <w:rPr>
          <w:sz w:val="20"/>
          <w:szCs w:val="20"/>
          <w:color w:val="auto"/>
        </w:rPr>
      </w:pPr>
      <w:r>
        <w:rPr>
          <w:rFonts w:ascii="Times New Roman" w:cs="Times New Roman" w:eastAsia="Times New Roman" w:hAnsi="Times New Roman"/>
          <w:sz w:val="18"/>
          <w:szCs w:val="18"/>
          <w:color w:val="auto"/>
        </w:rPr>
        <w:t>On April 26, 2022, the Company held a special meeting of shareholders (the “Meeting”). At the Meeting, the Company’s shareholders approved an amendment (the “Charter Amendment”) to the Company’s Amended and Restated Memorandum and Articles of Association (the “M&amp;A”) to extend the date by which the Company must consummate its initial Business Combination from May 3, 2022 to November 3, 2022. On April 27, 2022, the Company filed an amended and restated copy of the M&amp;A, as amended by the Charter Amendment with the Registrar of Corporate Affairs of the British Virgin Islands, effective the same day. In connection with the Meeting, shareholders holding 4,258,586 Public Shares exercised their right to redeem their shares for a pro rata portion of the funds in the Trust Account. As a result, approximately $43.0 million (approximately $10.10 per public share) has been removed from the Trust Account to pay such holders, and approximately $32.7 million remains in the Trust Account. Following such redemptions, the Company has 3,241,414 Public Shares outstanding. The Sponsor will deposit (by way of a non-convertible loan) $66,667 (or approximately $0.02 per Public Share that remain outstanding) per month in connection with the extension of the Company’s termination date from May 3, 2022 up to November 3, 2022.</w:t>
      </w:r>
    </w:p>
    <w:p>
      <w:pPr>
        <w:spacing w:after="0" w:line="188"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8"/>
          <w:szCs w:val="18"/>
          <w:color w:val="auto"/>
        </w:rPr>
        <w:t>In connection with the Charter Amendment, on May 2, 2022, the Company issued a promissory note (the “Note”) in the aggregate principal amount of up to $400,000 to the Sponsor in connection with the extension of the termination date for the Company’s initial Business Combination from May 3, 2022 to November 3, 2022 (the “Termination Date”), which extension was approved by the shareholders of the Company at a special meeting of the Company’s shareholders held on April 26, 2022.</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COMMITMENTS AND CONTINGENCIES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Note, the Sponsor has agreed to loan to the Company up to $400,000 to deposit into the Trust Account in an amount of $66,667 per month to extend the Termination Date on a month-by-month basis through November 3, 2022 as necessary, except that the sixth deposit (if applicable) will be a payment of $66,665 (the “Monthly Extension Amount”).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Note provides that the Monthly Extension Amount will be deposited into the Trust Account commencing on May 3, 2022, and within one business day of the 3rd day of each subsequent month until October 3, 2022 or an earlier date by which the Company completes an initial Business Combination or liquidates as provided for in the M&amp;A, and such amount will be distributed either to: (i) all of the public holders of the Public Shares upon the Company’s liquidation or (ii) the public holders of the Public Shares who elect to have their shares redeemed in connection with the consummation of the initial Business Combination.</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Note bears no interest and is repayable in full upon the earlier of (a) the date of the consummation of the initial Business Combination, or (b) the date of the liquidation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DEFICIT</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Shares </w:t>
      </w:r>
      <w:r>
        <w:rPr>
          <w:rFonts w:ascii="Times New Roman" w:cs="Times New Roman" w:eastAsia="Times New Roman" w:hAnsi="Times New Roman"/>
          <w:sz w:val="18"/>
          <w:szCs w:val="18"/>
          <w:color w:val="auto"/>
        </w:rPr>
        <w:t>— The Company is authorized to issue an unlimited number of no par value preferred shares, divided into five classes,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Class E, each with such designation, rights and preferences as may be determined by a resolution of the Company’s board of directors to amend the Memorandum and Articles of Association to create such designations, rights and preferences. The Company has five classes of preferred shares to give the Company flexibility as to the terms on which each Class is issued. All shares of a single class must be issued with the same rights and obligations. Accordingly, starting with five classes of preferred shares will allow the Company to issue shares at different times on different terms. At June 30, 2022 and December 31, 2021, there are no preferred shares designated, issued or outstanding.</w:t>
      </w:r>
    </w:p>
    <w:p>
      <w:pPr>
        <w:spacing w:after="0" w:line="186" w:lineRule="exact"/>
        <w:rPr>
          <w:sz w:val="20"/>
          <w:szCs w:val="20"/>
          <w:color w:val="auto"/>
        </w:rPr>
      </w:pPr>
    </w:p>
    <w:p>
      <w:pPr>
        <w:jc w:val="both"/>
        <w:ind w:firstLine="262"/>
        <w:spacing w:after="0" w:line="282" w:lineRule="auto"/>
        <w:rPr>
          <w:sz w:val="20"/>
          <w:szCs w:val="20"/>
          <w:color w:val="auto"/>
        </w:rPr>
      </w:pPr>
      <w:r>
        <w:rPr>
          <w:rFonts w:ascii="Times New Roman" w:cs="Times New Roman" w:eastAsia="Times New Roman" w:hAnsi="Times New Roman"/>
          <w:sz w:val="18"/>
          <w:szCs w:val="18"/>
          <w:color w:val="auto"/>
        </w:rPr>
        <w:t>In connection with the extension of the Combination Period, certain holders of ordinary shares elected to redeem an aggregate of 4,258,586 ordinary shares. As a result, approximately 43,025,883 was paid out of the Trust in connection with the redemptions.</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Shares </w:t>
      </w:r>
      <w:r>
        <w:rPr>
          <w:rFonts w:ascii="Times New Roman" w:cs="Times New Roman" w:eastAsia="Times New Roman" w:hAnsi="Times New Roman"/>
          <w:sz w:val="18"/>
          <w:szCs w:val="18"/>
          <w:color w:val="auto"/>
        </w:rPr>
        <w:t>— The Company is authorized to issue an unlimited number of no par value ordinary shares. Holders of the Company’s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are entitled to one vote for each share. At June 30, 2022 and December 31, 2021, there were 1,875,000 ordinary shares issued and outstanding, excluding 3,241,414 and 7,500,000 shares that are subject to possible redemption and presented as temporary equity as of June 30, 2022 and December 31,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June 30, 2022 and December 31, 2021, there were 7,500,000 Public Warrants outstanding. Public Warrants will become exercisable on the later of</w:t>
      </w:r>
    </w:p>
    <w:p>
      <w:pPr>
        <w:spacing w:after="0" w:line="27" w:lineRule="exact"/>
        <w:rPr>
          <w:sz w:val="20"/>
          <w:szCs w:val="20"/>
          <w:color w:val="auto"/>
        </w:rPr>
      </w:pPr>
    </w:p>
    <w:p>
      <w:pPr>
        <w:jc w:val="both"/>
        <w:ind w:firstLine="8"/>
        <w:spacing w:after="0" w:line="251" w:lineRule="auto"/>
        <w:tabs>
          <w:tab w:leader="none" w:pos="27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Business Combination or (b) 12 months from the effective date of the registration statement relating to the Initial Public Offering. No Public Warrants will be exercisable for cash unless the Company has an effective and current registration statement covering the ordinary shares issuable upon exercise of the Public Warrants and a current prospectus relating to such ordinary shares. Notwithstanding the foregoing, if a registration statement covering the ordinary shares issuable upon the exercise of the Public Warrants is not effective within 90 days from the consummation of a Business Combination, the holders may, until such time as there is an effective registration statement and during any period when the Company shall have failed to maintain an effective registration statement, exercise the Public Warrants on a cashless basis pursuant to an available exemption from registration under the Securities Act. If an exemption from registration is not available, holders will not be able to exercise their Public Warrants on a cashless basis. The Public Warrants will expire five years from the consummation of a Business Combination or earlier upon redemption or liquidation.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WARRANTS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or equity-linked securities for capital raising purposes in connection with the closing of its Business Combination at an issue price or effective issue price of less than $9.50 per share (as adjusted for splits, dividends, rights issuances, subdivisions, reorganizations, recapitalizations and the like) (with such issue price or effective issue price to be determined in good faith by the Company’s board of directors, and in the case of any such issuance to the Sponsor, initial shareholders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the Business Combination (net of redemptions), and (z) the volume weighted average trading price of the Company’s ordinary shares during the 20 trading day period starting on the trading day prior to the day on which the Company consummates its Business Combination (such price, the “Market Value”) is below $9.50 per share, the exercise price of the warrants will be adjusted (to the nearest cent) to be equal to 115% of the higher of (i) the Market Value and (ii) the Newly Issued Price, and the $16.50 per share redemption trigger price described below will be adjusted (to the nearest cent) to be equal to 165% of the higher of (i) the Market Value and (ii) the Newly Issued Price.</w:t>
      </w:r>
    </w:p>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may call the warrants for redemption (excluding the Private Placement Warrants), in whole and not in part, at a price of $0.01 per warrant:</w:t>
      </w:r>
    </w:p>
    <w:p>
      <w:pPr>
        <w:spacing w:after="0" w:line="162"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Public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Public Warrant holder,</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ordinary shares equals or exceeds $16.50 per share, for any 20 trading days within a 30-trading day period ending on the third trading day prior to the notice of redemption to Public Warrant holders, and</w:t>
      </w:r>
    </w:p>
    <w:p>
      <w:pPr>
        <w:spacing w:after="0" w:line="16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ordinary shares underlying such warrants at the time of redemption and for the entire 30-day trading period referred to above and continuing each day thereafter until the date of redemption.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warrants may be adjusted in certain circumstances including in the event of a share dividend, extraordinary dividend or recapitalization, reorganization, merger or consolidation. However, except as described above, the warrants will not be adjusted for issuances of ordinary shares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only allow the holder thereof to one ordinary share and the ordinary shares issuable upon the exercise of the Private Placement Warrants will not be transferable, assignable or saleable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WARRANTS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ASC Section 815-40-15 addresses equity versus liability treatment and classification of equity-linked financial instruments, including warrants, and states that a warrant may be classified as a component of equity only if, among other things, the warrant is indexed to the issuer’s ordinary share. Under ASC Section 815-40-15, a warrant is not indexed to the issuer’s ordinary share if the terms of the warrant require an adjustment to the exercise price upon a specified event and that event is not an input to the fair value of the warrant. Based on management’s evaluation, the Company’s audit committee, in consultation with management, concluded that the Company’s Private Placement Warrants and Public Warrants are not indexed to the Company’s ordinary share in the manner contemplated by ASC Section 815-40-15 because the holder of the instrument is not an input into the pricing of a fixed-for-fixed option on equity shares. In addition, based on management’s evaluation, the Company’s audit committee, in consultation with management, concluded that certain warrant provisions preclude equity treatment as by ASC Section 815-10-15.</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accounts for its Public Warrants and Private Placement Warrants as liabilities as set forth in ASC 815-40-15-7D and 7F. See Note 9 for details over the methodology and valuation of the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7"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2" w:lineRule="exact"/>
        <w:rPr>
          <w:sz w:val="20"/>
          <w:szCs w:val="20"/>
          <w:color w:val="auto"/>
        </w:rPr>
      </w:pPr>
    </w:p>
    <w:p>
      <w:pPr>
        <w:ind w:left="980" w:right="20" w:hanging="647"/>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 based on our assessment of the assumptions that market participants would use in pricing the asset or liability.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on a recurring basis at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indicates the fair value hierarchy of the valuation inputs the Company utilized to determine such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4320" w:type="dxa"/>
            <w:vAlign w:val="bottom"/>
            <w:gridSpan w:val="3"/>
          </w:tcPr>
          <w:p>
            <w:pPr>
              <w:jc w:val="center"/>
              <w:ind w:left="3350"/>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32,989,082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75,758,781</w:t>
            </w:r>
          </w:p>
        </w:tc>
      </w:tr>
      <w:tr>
        <w:trPr>
          <w:trHeight w:val="216"/>
        </w:trPr>
        <w:tc>
          <w:tcPr>
            <w:tcW w:w="44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4320" w:type="dxa"/>
            <w:vAlign w:val="bottom"/>
            <w:gridSpan w:val="3"/>
            <w:shd w:val="clear" w:color="auto" w:fill="CCEEFF"/>
          </w:tcPr>
          <w:p>
            <w:pPr>
              <w:jc w:val="center"/>
              <w:ind w:left="3350"/>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2,398,500</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4320" w:type="dxa"/>
            <w:vAlign w:val="bottom"/>
            <w:gridSpan w:val="3"/>
          </w:tcPr>
          <w:p>
            <w:pPr>
              <w:jc w:val="center"/>
              <w:ind w:left="3350"/>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2,398,500</w:t>
            </w:r>
          </w:p>
        </w:tc>
      </w:tr>
      <w:tr>
        <w:trPr>
          <w:trHeight w:val="630"/>
        </w:trPr>
        <w:tc>
          <w:tcPr>
            <w:tcW w:w="44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color w:val="auto"/>
              </w:rPr>
              <w:t>F-67</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Warrants are accounted for as liabilities in accordance with ASC 815-40 and are presented within warrant liabilities on the accompanying condensed consolidated balance sheets. The warrant liabilities are measured at fair value at inception and on a recurring basis, with changes in fair value presented in the condensed consolidated statements of operations.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Warrants were valued using a binomial lattice model, which is considered to be a Level 3 fair value measurement. The binomial lattice model’s primary unobservable input utilized in determining the fair value of the Warrants is the expected volatility of the ordinary shares. The expected volatility as of the Initial Public Offering date was derived from observable public warrant pricing on comparable ‘blank-check’ companies without an identified target. For periods subsequent to the detachment of the Public Warrants from the Units, the close price of the Public Warrant price will be used as the fair value as of each relevant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414"/>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warrant liabilities: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320" w:type="dxa"/>
            <w:vAlign w:val="bottom"/>
          </w:tcPr>
          <w:p>
            <w:pPr>
              <w:spacing w:after="0"/>
              <w:rPr>
                <w:sz w:val="24"/>
                <w:szCs w:val="24"/>
                <w:color w:val="auto"/>
              </w:rPr>
            </w:pPr>
          </w:p>
        </w:tc>
        <w:tc>
          <w:tcPr>
            <w:tcW w:w="17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w:t>
            </w:r>
          </w:p>
        </w:tc>
      </w:tr>
      <w:tr>
        <w:trPr>
          <w:trHeight w:val="238"/>
        </w:trPr>
        <w:tc>
          <w:tcPr>
            <w:tcW w:w="6320" w:type="dxa"/>
            <w:vAlign w:val="bottom"/>
          </w:tcPr>
          <w:p>
            <w:pPr>
              <w:spacing w:after="0"/>
              <w:rPr>
                <w:sz w:val="20"/>
                <w:szCs w:val="20"/>
                <w:color w:val="auto"/>
              </w:rPr>
            </w:pPr>
          </w:p>
        </w:tc>
        <w:tc>
          <w:tcPr>
            <w:tcW w:w="17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Placement</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2,398,500</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2,398,500</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(1,798,912)</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(1,798,912)</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(3,597,824)</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March 31, 2022</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599,588</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599,588</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(299,588)</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(299,588)</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(599,176)</w:t>
            </w:r>
          </w:p>
        </w:tc>
      </w:tr>
      <w:tr>
        <w:trPr>
          <w:trHeight w:val="223"/>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June 30, 2022</w:t>
            </w:r>
          </w:p>
        </w:tc>
        <w:tc>
          <w:tcPr>
            <w:tcW w:w="1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 during the three and six months ended June 30, 2022.</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June 30, 2022, the Convertible Promissory Note was valued by estimating the value of debt component and the debt conversion option. A discounted cash flow method was used to value the debt component and a Black-Scholes model was used to value the debt conversion option. The value of debt component and the value of the debt conversion option was used to derive the fair value of Convertible Promissory Note. The discounted cash flow method and the Black-Scholes model are considered a form of the income approach, which is considered to be a Level 3 fair value measurement. The primary unobservable input utilized in determining the fair value of the Convertible Promissory Note is the expected volatility of the ordinary share, which underlines the price of warrants into which the Convertible Promissory Note may be converted into. This liability is subject to re-measurement at each balance sheet date and loan withdrawal date until exercised, and any change in fair value is recognized in the Company’s condensed consolidated statements of operations. The fair value of the loan as of June 30, 2022, was $103,000, which resulted in a change in fair value of the Convertible Promissory Note of $600 recorded in the condensed consolidated statement of operations for the six months ended June 30, 2022.</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quantitative information regarding Level 3 fair value measurements for the Convertible Promissory Notes: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May 19,</w:t>
            </w:r>
          </w:p>
        </w:tc>
        <w:tc>
          <w:tcPr>
            <w:tcW w:w="300" w:type="dxa"/>
            <w:vAlign w:val="bottom"/>
          </w:tcPr>
          <w:p>
            <w:pPr>
              <w:spacing w:after="0"/>
              <w:rPr>
                <w:sz w:val="19"/>
                <w:szCs w:val="19"/>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Units</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w:t>
            </w:r>
          </w:p>
        </w:tc>
      </w:t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Probability of Business Combination</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414"/>
        </w:trPr>
        <w:tc>
          <w:tcPr>
            <w:tcW w:w="94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the Level 3 Convertible Promissory Notes as of June 30, 2022:</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9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measurement as of May 19, 2022</w:t>
            </w: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through convertible note – related party</w:t>
            </w: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173,820</w:t>
            </w:r>
          </w:p>
        </w:tc>
      </w:tr>
      <w:tr>
        <w:trPr>
          <w:trHeight w:val="230"/>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(70,820)</w:t>
            </w:r>
          </w:p>
        </w:tc>
      </w:tr>
      <w:tr>
        <w:trPr>
          <w:trHeight w:val="209"/>
        </w:trPr>
        <w:tc>
          <w:tcPr>
            <w:tcW w:w="94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June 30, 2022</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103,000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 during the six months ended June 30, 2022 for the Convertible Promissory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consolidated financial statements were issued. Based upon this review, other than the below, the Company did not identify any other subsequent events that would have required adjustment or disclosure in the condensed consolidated financial statements.</w:t>
      </w:r>
    </w:p>
    <w:p>
      <w:pPr>
        <w:spacing w:after="0" w:line="176"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8"/>
          <w:szCs w:val="18"/>
          <w:color w:val="auto"/>
        </w:rPr>
        <w:t>On July 20, 2022, the Company entered into an agreement with a Northland to provide placement agent services in connection with a potential Business Combination. Under this agreement, Northland will be entitled to receive 1.5% of the aggregate net proceeds of such financing as well as an advisory fee of 3.5% of the product of (i) the number of shares purchased in connection with a backstop or forward purchase or similar agreement involving investors identified by Northland and (ii) $10.10 per share.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BULL HORN HOLDINGS CORP.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the Purchaser,</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BH MERGER SUB,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Merger Sub,</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COEPTIS THERAPEUTICS,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the Company,</w:t>
      </w:r>
    </w:p>
    <w:p>
      <w:pPr>
        <w:spacing w:after="0" w:line="20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Dated as of April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962660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10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TABLE OF CONTENTS</w:t>
            </w:r>
          </w:p>
        </w:tc>
        <w:tc>
          <w:tcPr>
            <w:tcW w:w="1100" w:type="dxa"/>
            <w:vAlign w:val="bottom"/>
          </w:tcPr>
          <w:p>
            <w:pPr>
              <w:spacing w:after="0"/>
              <w:rPr>
                <w:sz w:val="20"/>
                <w:szCs w:val="20"/>
                <w:color w:val="auto"/>
              </w:rPr>
            </w:pPr>
          </w:p>
        </w:tc>
      </w:tr>
      <w:tr>
        <w:trPr>
          <w:trHeight w:val="413"/>
        </w:trPr>
        <w:tc>
          <w:tcPr>
            <w:tcW w:w="104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040" w:type="dxa"/>
            <w:vAlign w:val="bottom"/>
            <w:tcBorders>
              <w:bottom w:val="single" w:sz="8" w:color="CCEEFF"/>
            </w:tcBorders>
          </w:tcPr>
          <w:p>
            <w:pPr>
              <w:spacing w:after="0"/>
              <w:rPr>
                <w:sz w:val="4"/>
                <w:szCs w:val="4"/>
                <w:color w:val="auto"/>
              </w:rPr>
            </w:pPr>
          </w:p>
        </w:tc>
        <w:tc>
          <w:tcPr>
            <w:tcW w:w="9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MERGER</w:t>
            </w:r>
          </w:p>
        </w:tc>
        <w:tc>
          <w:tcPr>
            <w:tcW w:w="9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r>
      <w:tr>
        <w:trPr>
          <w:trHeight w:val="41"/>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Transaction Effective Time</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the Merger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Treatment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 of Incorporation and Bylaws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1.6.</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Directors and Officers of the Transaction Surviving Corporation</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Purchaser Certificate of Incorporation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41"/>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1.8.</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Pre-Closing Company Preferred Stock Exchange</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Consideration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1.10.</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Closing Calculations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Merger on Company Securities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1.12.</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Surrender of Company Securities and Payment of Merger Consideration</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A-4</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Transaction on Merger Sub Stock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41"/>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1.14.</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Appraisal and Dissenter’s Rights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1040" w:type="dxa"/>
            <w:vAlign w:val="bottom"/>
            <w:shd w:val="clear" w:color="auto" w:fill="CCEEFF"/>
          </w:tcPr>
          <w:p>
            <w:pPr>
              <w:spacing w:after="0"/>
              <w:rPr>
                <w:sz w:val="24"/>
                <w:szCs w:val="24"/>
                <w:color w:val="auto"/>
              </w:rPr>
            </w:pPr>
          </w:p>
        </w:tc>
        <w:tc>
          <w:tcPr>
            <w:tcW w:w="9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II. CLOSING</w:t>
            </w:r>
          </w:p>
        </w:tc>
        <w:tc>
          <w:tcPr>
            <w:tcW w:w="9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Closing</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284"/>
        </w:trPr>
        <w:tc>
          <w:tcPr>
            <w:tcW w:w="1014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r>
      <w:tr>
        <w:trPr>
          <w:trHeight w:val="263"/>
        </w:trPr>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III. REPRESENTATIONS AND WARRANTIES OF THE PURCHASER AND MERGER SUB</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 and Standing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Authorization; Binding Agreement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Governmental Approvals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3.4.</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Non-Contravention</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 Filings and Purchaser Financials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3.8.</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Compliance with Laws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Actions; Orders; Permits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3.10.</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 and Returns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A-10</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Employees and Employee Benefit Plans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A-10</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3.12.</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Properties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A-10</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Material Contracts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A-10</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3.14.</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A-10</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Sub Activities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3.16.</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Company Act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Finders and Brokers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1"/>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3.18.</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Ownership of Merger Consideration</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3.19.</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3.20.</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Supplied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A-12</w:t>
            </w:r>
          </w:p>
        </w:tc>
      </w:tr>
      <w:tr>
        <w:trPr>
          <w:trHeight w:val="41"/>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3.22.</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Trust Account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A-12</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3.23.</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A-12</w:t>
            </w:r>
          </w:p>
        </w:tc>
      </w:tr>
      <w:tr>
        <w:trPr>
          <w:trHeight w:val="41"/>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3"/>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3.24.</w:t>
            </w:r>
          </w:p>
        </w:tc>
        <w:tc>
          <w:tcPr>
            <w:tcW w:w="9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 Other Representations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A-13</w:t>
            </w:r>
          </w:p>
        </w:tc>
      </w:tr>
      <w:tr>
        <w:trPr>
          <w:trHeight w:val="41"/>
        </w:trPr>
        <w:tc>
          <w:tcPr>
            <w:tcW w:w="1040" w:type="dxa"/>
            <w:vAlign w:val="bottom"/>
            <w:shd w:val="clear" w:color="auto" w:fill="CCEEFF"/>
          </w:tcPr>
          <w:p>
            <w:pPr>
              <w:spacing w:after="0"/>
              <w:rPr>
                <w:sz w:val="3"/>
                <w:szCs w:val="3"/>
                <w:color w:val="auto"/>
              </w:rPr>
            </w:pPr>
          </w:p>
        </w:tc>
        <w:tc>
          <w:tcPr>
            <w:tcW w:w="9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96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12"/>
        </w:trPr>
        <w:tc>
          <w:tcPr>
            <w:tcW w:w="72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0140" w:type="dxa"/>
            <w:vAlign w:val="bottom"/>
            <w:tcBorders>
              <w:bottom w:val="single" w:sz="8" w:color="CCEEFF"/>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IV. REPRESENTATIONS AND WARRANTIES OF THE COMPANY</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A-13</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Organization and Standing</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A-13</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Authorization; Binding Agreement</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A-13</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Capitalization</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A-14</w:t>
            </w:r>
          </w:p>
        </w:tc>
      </w:tr>
      <w:tr>
        <w:trPr>
          <w:trHeight w:val="41"/>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Subsidiaries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A-15</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Governmental Approvals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A-15</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Non-Contravention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A-15</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 Filings and Company Financials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A-16</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4.8.</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A-17</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Compliance with Laws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A-17</w:t>
            </w:r>
          </w:p>
        </w:tc>
      </w:tr>
      <w:tr>
        <w:trPr>
          <w:trHeight w:val="41"/>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4.10.</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Company Permits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A-17</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Litigation</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A-17</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4.12.</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Material Contracts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A-18</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Intellectual Property</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A-19</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4.14.</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and Returns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A-21</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Property</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A-22</w:t>
            </w:r>
          </w:p>
        </w:tc>
      </w:tr>
      <w:tr>
        <w:trPr>
          <w:trHeight w:val="41"/>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4.16.</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Personal Property</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A-22</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to and Sufficiency of Assets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A-23</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4.18.</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Matters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A-23</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Plans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A-24</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4.20.</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Environmental Matters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A-25</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Transactions with Related Persons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A-26</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4.22.</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Company Insurance</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A-26</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Healthcare Industry Matters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A-27</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4.24.</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Top Suppliers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A-28</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A-28</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4.26</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Liability</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A-29</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4.27.</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Company Act</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A-29</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4.28.</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Finders and Brokers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A-29</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4.29.</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A-29</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4.30.</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Information Supplied</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A-29</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4.31.</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Other Representations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A-30</w:t>
            </w:r>
          </w:p>
        </w:tc>
      </w:tr>
      <w:tr>
        <w:trPr>
          <w:trHeight w:val="40"/>
        </w:trPr>
        <w:tc>
          <w:tcPr>
            <w:tcW w:w="10140" w:type="dxa"/>
            <w:vAlign w:val="bottom"/>
            <w:gridSpan w:val="2"/>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10140" w:type="dxa"/>
            <w:vAlign w:val="bottom"/>
            <w:gridSpan w:val="2"/>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 COVENANTS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A-30</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Access and Information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A-30</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Conduct of Business of the Company</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A-30</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5.3.</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Conduct of Business of the Purchaser</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A-32</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Annual and Interim Financial Statements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A-34</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5.5.</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Purchaser and Company Public Filings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A-34</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Solicitation</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A-35</w:t>
            </w:r>
          </w:p>
        </w:tc>
      </w:tr>
      <w:tr>
        <w:trPr>
          <w:trHeight w:val="41"/>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5.7.</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 Trading</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A-36</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A-36</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5.9.</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Efforts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A-36</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Matters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A-37</w:t>
            </w:r>
          </w:p>
        </w:tc>
      </w:tr>
      <w:tr>
        <w:trPr>
          <w:trHeight w:val="41"/>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5.11.</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Further Assurances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A-38</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Registration Statement</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A-38</w:t>
            </w:r>
          </w:p>
        </w:tc>
      </w:tr>
      <w:tr>
        <w:trPr>
          <w:trHeight w:val="41"/>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5.13.</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Company Stockholder Meeting</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A-39</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5.14.</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Announcements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A-39</w:t>
            </w:r>
          </w:p>
        </w:tc>
      </w:tr>
      <w:tr>
        <w:trPr>
          <w:trHeight w:val="41"/>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5.15.</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Confidential Information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A-40</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Post-Closing Board of Directors and Executive Officers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1" w:right="339" w:bottom="177"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12"/>
        </w:trPr>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9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6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5.17.</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Indemnification of Officers and Directors; Tail Insurance</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A-41</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5.18.</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Trust Account Proceeds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A-42</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5.19.</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A-42</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5.20.</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Listing</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A-42</w:t>
            </w:r>
          </w:p>
        </w:tc>
      </w:tr>
      <w:tr>
        <w:trPr>
          <w:trHeight w:val="41"/>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5.21.</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Domestication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A-42</w:t>
            </w:r>
          </w:p>
        </w:tc>
      </w:tr>
      <w:tr>
        <w:trPr>
          <w:trHeight w:val="283"/>
        </w:trPr>
        <w:tc>
          <w:tcPr>
            <w:tcW w:w="18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3"/>
        </w:trPr>
        <w:tc>
          <w:tcPr>
            <w:tcW w:w="101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VI. CLOSING CONDITIONS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A-42</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Conditions of Each Party’s Obligations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A-42</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6.2.</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A-43</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Conditions to Obligations of the Purchaser</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A-44</w:t>
            </w:r>
          </w:p>
        </w:tc>
      </w:tr>
      <w:tr>
        <w:trPr>
          <w:trHeight w:val="41"/>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6.4.</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Frustration of Conditions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A-45</w:t>
            </w:r>
          </w:p>
        </w:tc>
      </w:tr>
      <w:tr>
        <w:trPr>
          <w:trHeight w:val="283"/>
        </w:trPr>
        <w:tc>
          <w:tcPr>
            <w:tcW w:w="18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3"/>
        </w:trPr>
        <w:tc>
          <w:tcPr>
            <w:tcW w:w="101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VII. TERMINATION AND EXPENSES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A-45</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A-45</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7.2.</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Termination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A-46</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Fees and Expenses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A-46</w:t>
            </w:r>
          </w:p>
        </w:tc>
      </w:tr>
      <w:tr>
        <w:trPr>
          <w:trHeight w:val="41"/>
        </w:trPr>
        <w:tc>
          <w:tcPr>
            <w:tcW w:w="180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1800" w:type="dxa"/>
            <w:vAlign w:val="bottom"/>
            <w:gridSpan w:val="2"/>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VIII. TRUST WAIVER</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A-47</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8.1.</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Waiver of Claims Against Trust</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A-47</w:t>
            </w:r>
          </w:p>
        </w:tc>
      </w:tr>
      <w:tr>
        <w:trPr>
          <w:trHeight w:val="284"/>
        </w:trPr>
        <w:tc>
          <w:tcPr>
            <w:tcW w:w="18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3"/>
        </w:trPr>
        <w:tc>
          <w:tcPr>
            <w:tcW w:w="101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IX. MISCELLANEOUS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A-48</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Survival</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A-48</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9.2.</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Non-Recourse</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A-48</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A-48</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9.4.</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A-49</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Third Parties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A-49</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9.6.</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Arbitration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A-49</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A-50</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9.8.</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A-50</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Specific Performance</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A-50</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9.10.</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A-50</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9.11.</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Amendment</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A-50</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9.12.</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Waiver</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A-50</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9.13.</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A-51</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9.14.</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Interpretation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A-51</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9.15.</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A-51</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9.16.</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Representation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A-52</w:t>
            </w:r>
          </w:p>
        </w:tc>
      </w:tr>
      <w:tr>
        <w:trPr>
          <w:trHeight w:val="284"/>
        </w:trPr>
        <w:tc>
          <w:tcPr>
            <w:tcW w:w="18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3"/>
        </w:trPr>
        <w:tc>
          <w:tcPr>
            <w:tcW w:w="101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X. DEFINITIONS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A-52</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Certain Definitions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A-52</w:t>
            </w:r>
          </w:p>
        </w:tc>
      </w:tr>
      <w:tr>
        <w:trPr>
          <w:trHeight w:val="41"/>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References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A-60</w:t>
            </w:r>
          </w:p>
        </w:tc>
      </w:tr>
      <w:tr>
        <w:trPr>
          <w:trHeight w:val="391"/>
        </w:trPr>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1100" w:type="dxa"/>
            <w:vAlign w:val="bottom"/>
          </w:tcPr>
          <w:p>
            <w:pPr>
              <w:spacing w:after="0"/>
              <w:rPr>
                <w:sz w:val="24"/>
                <w:szCs w:val="24"/>
                <w:color w:val="auto"/>
              </w:rPr>
            </w:pPr>
          </w:p>
        </w:tc>
      </w:tr>
      <w:tr>
        <w:trPr>
          <w:trHeight w:val="446"/>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100" w:type="dxa"/>
            <w:vAlign w:val="bottom"/>
          </w:tcPr>
          <w:p>
            <w:pPr>
              <w:spacing w:after="0"/>
              <w:rPr>
                <w:sz w:val="24"/>
                <w:szCs w:val="24"/>
                <w:color w:val="auto"/>
              </w:rPr>
            </w:pPr>
          </w:p>
        </w:tc>
      </w:tr>
      <w:tr>
        <w:trPr>
          <w:trHeight w:val="47"/>
        </w:trPr>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8"/>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Voting Agreement</w:t>
            </w:r>
          </w:p>
        </w:tc>
        <w:tc>
          <w:tcPr>
            <w:tcW w:w="1100" w:type="dxa"/>
            <w:vAlign w:val="bottom"/>
            <w:shd w:val="clear" w:color="auto" w:fill="CCEEFF"/>
          </w:tcPr>
          <w:p>
            <w:pPr>
              <w:spacing w:after="0"/>
              <w:rPr>
                <w:sz w:val="19"/>
                <w:szCs w:val="19"/>
                <w:color w:val="auto"/>
              </w:rPr>
            </w:pPr>
          </w:p>
        </w:tc>
      </w:tr>
      <w:tr>
        <w:trPr>
          <w:trHeight w:val="36"/>
        </w:trPr>
        <w:tc>
          <w:tcPr>
            <w:tcW w:w="9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44"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made and entered into as of April 18, 2022 by and among (i) </w:t>
      </w:r>
      <w:r>
        <w:rPr>
          <w:rFonts w:ascii="Times New Roman" w:cs="Times New Roman" w:eastAsia="Times New Roman" w:hAnsi="Times New Roman"/>
          <w:sz w:val="18"/>
          <w:szCs w:val="18"/>
          <w:b w:val="1"/>
          <w:bCs w:val="1"/>
          <w:color w:val="auto"/>
        </w:rPr>
        <w:t>Bull Horn Holdings Corp.</w:t>
      </w:r>
      <w:r>
        <w:rPr>
          <w:rFonts w:ascii="Times New Roman" w:cs="Times New Roman" w:eastAsia="Times New Roman" w:hAnsi="Times New Roman"/>
          <w:sz w:val="18"/>
          <w:szCs w:val="18"/>
          <w:color w:val="auto"/>
        </w:rPr>
        <w:t>, a British Virgin Islands business company (together with its successors, including post-Domestication in the State of Delaware,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b w:val="1"/>
          <w:bCs w:val="1"/>
          <w:color w:val="auto"/>
        </w:rPr>
        <w:t>BH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 Sub, Inc.</w:t>
      </w:r>
      <w:r>
        <w:rPr>
          <w:rFonts w:ascii="Times New Roman" w:cs="Times New Roman" w:eastAsia="Times New Roman" w:hAnsi="Times New Roman"/>
          <w:sz w:val="18"/>
          <w:szCs w:val="18"/>
          <w:color w:val="auto"/>
        </w:rPr>
        <w:t>, a Delaware corporation and a wholly-owned subsidiary of the Purchaser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(iii)</w:t>
      </w:r>
      <w:r>
        <w:rPr>
          <w:rFonts w:ascii="Times New Roman" w:cs="Times New Roman" w:eastAsia="Times New Roman" w:hAnsi="Times New Roman"/>
          <w:sz w:val="18"/>
          <w:szCs w:val="18"/>
          <w:b w:val="1"/>
          <w:bCs w:val="1"/>
          <w:color w:val="auto"/>
        </w:rPr>
        <w:t xml:space="preserve"> Coeptis Therapeutics, Inc.</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Purchaser, Merger Sub and the Company are sometimes referred to herein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A. The Company, directly and indirectly through its subsidiaries, is a biopharmaceutical company developing innovative cell therapy platforms for patients with cancer;</w:t>
      </w:r>
    </w:p>
    <w:p>
      <w:pPr>
        <w:spacing w:after="0" w:line="81"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B. The Purchaser owns all of the issued and outstanding capital stock of Merger Sub, which was formed for the sole purpose of the Merger (as defined below);</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The Parties intend to effect the merger of Merger Sub with and into the Company, with the Company continuing as the surviving entity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as a result of which (i) all of the issued and outstanding capital stock of the Company immediately prior to the Effective Time, shall no longer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outstanding and shall automatically be canceled and shall cease to exist, in exchange for the right for each Company Stockholder (as defined herein)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its Pro Rata Share (as defined herein) of the Merger Consideration (as defined herein) and (ii) the Specified Company Warrants (as defined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outstanding and unexercised as of immediately prior to the Effective Time, shall be assumed (with equitable adjustments to the number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 thereof) by the Purchaser with the result that such assumed Specified Company Warrants shall be replaced with Assumed Warrants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herein) exercisable into shares of Purchaser Common Stock, all upon the terms and subject to the conditions set forth in this Agreement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applicable provisions of the Delaware General Corporation Law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D. The Parties intend that, at least one (1) Business Day prior to the Closing Date, the Purchaser will continue out of the British Virgin Islands and become domesticated as a corporation in the State of Delaware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pursuant to Section 184 of the BVI Business Companies Act, 2004 (as amended, the “</w:t>
      </w:r>
      <w:r>
        <w:rPr>
          <w:rFonts w:ascii="Times New Roman" w:cs="Times New Roman" w:eastAsia="Times New Roman" w:hAnsi="Times New Roman"/>
          <w:sz w:val="18"/>
          <w:szCs w:val="18"/>
          <w:b w:val="1"/>
          <w:bCs w:val="1"/>
          <w:i w:val="1"/>
          <w:iCs w:val="1"/>
          <w:color w:val="auto"/>
        </w:rPr>
        <w:t>Companies Act</w:t>
      </w:r>
      <w:r>
        <w:rPr>
          <w:rFonts w:ascii="Times New Roman" w:cs="Times New Roman" w:eastAsia="Times New Roman" w:hAnsi="Times New Roman"/>
          <w:sz w:val="18"/>
          <w:szCs w:val="18"/>
          <w:color w:val="auto"/>
        </w:rPr>
        <w:t>”) and Section 388 of the Delaware General Corporation Law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in accordance with the terms of the Purchaser’s Organizational Documents;</w:t>
      </w:r>
    </w:p>
    <w:p>
      <w:pPr>
        <w:spacing w:after="0" w:line="9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E. The boards of directors of the Company, the Purchaser and Merger Sub have each (i) determined that the Merger is fair, advisable and in the best interests of their respective companies and stockholders, (ii) approved this Agreement and the transactions contemplated hereby, including the Merger, upon the terms and subject to the conditions set forth herein, and (iii) determined to recommend to their respective stockholders the approval and adoption of this Agreement and the transactions contemplated hereby, including the Merger;</w:t>
      </w:r>
    </w:p>
    <w:p>
      <w:pPr>
        <w:spacing w:after="0" w:line="108"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8"/>
          <w:szCs w:val="18"/>
          <w:color w:val="auto"/>
        </w:rPr>
        <w:t xml:space="preserve">F. The Purchaser has received voting and support agreements in substantially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i w:val="1"/>
          <w:i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signed by the Company and certain holders of Company Stock (as defined herein) sufficient to approve the Merger and the other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contemplated by this Agreement (including any separate class or series votes of Company Preferred Stock (as defined herein));</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 The Parties intend that the Merger will qualify as a tax-free “reorganization” within the meaning of Section 368(a) of the Code (as defined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H. Certain capitalized terms used herein are defined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hereof.</w:t>
      </w:r>
    </w:p>
    <w:p>
      <w:pPr>
        <w:spacing w:after="0" w:line="154" w:lineRule="exact"/>
        <w:rPr>
          <w:sz w:val="20"/>
          <w:szCs w:val="20"/>
          <w:color w:val="auto"/>
        </w:rPr>
      </w:pPr>
    </w:p>
    <w:p>
      <w:pPr>
        <w:ind w:right="10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set forth above, which are incorporated in this Agreement as if fully set forth below,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warranties, covenants and agreements contained in this Agreement, and intending to be legally bound hereby, the Parties hereto agree as follows:</w:t>
      </w:r>
    </w:p>
    <w:p>
      <w:pPr>
        <w:spacing w:after="0" w:line="1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MERGER</w:t>
      </w:r>
    </w:p>
    <w:p>
      <w:pPr>
        <w:spacing w:after="0" w:line="126"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At the Effective Time, and subject to and upon the terms and conditions of this Agreement, and in accordance with the applicable provisions of the DGCL, Merger Sub and the Company shall consummate the Merger, pursuant to which Merger Sub shall be merged with and into the Company, following which the separate corporate existence of Merger Sub shall cease and the Company shall continue as the surviving corporation. The Company, as the surviving corporation after the Merger, is hereinafter sometimes referred to as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 (provided, that references to the Company for periods after the Effective Time shall include the Surviving Corporation).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18" w:name="page219"/>
    <w:bookmarkEnd w:id="218"/>
    <w:p>
      <w:pPr>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Parties hereto shall cause the Merger to be consummated by filing the Certificate of Merger for the merger of Merger Sub with and into the Company (the “</w:t>
      </w:r>
      <w:r>
        <w:rPr>
          <w:rFonts w:ascii="Times New Roman" w:cs="Times New Roman" w:eastAsia="Times New Roman" w:hAnsi="Times New Roman"/>
          <w:sz w:val="18"/>
          <w:szCs w:val="18"/>
          <w:b w:val="1"/>
          <w:bCs w:val="1"/>
          <w:i w:val="1"/>
          <w:iCs w:val="1"/>
          <w:color w:val="auto"/>
        </w:rPr>
        <w:t>Certificate of Merger</w:t>
      </w:r>
      <w:r>
        <w:rPr>
          <w:rFonts w:ascii="Times New Roman" w:cs="Times New Roman" w:eastAsia="Times New Roman" w:hAnsi="Times New Roman"/>
          <w:sz w:val="18"/>
          <w:szCs w:val="18"/>
          <w:color w:val="auto"/>
        </w:rPr>
        <w:t>”) with the Secretary of State of the State of Delaware in accordance with the relevant provisions of the DGCL (the time of such filing, or such later time as may be specified in the Certificate of Merger, being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Merger Sub and the Company shall become the property, rights, privileges, agreements, powers and franchises, debts, Liabilities, duties and obligations of the Surviving Corporation, which shall include the assumption by the Surviving Corporation of any and all agreements, covenants, duties and obligations of Merger Sub and the Company set forth in this Agreement to be performed after the Effective Time.</w:t>
      </w:r>
    </w:p>
    <w:p>
      <w:pPr>
        <w:spacing w:after="0" w:line="12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For federal income tax purposes, the Merger is intended to constitute a “reorganization” within the meaning of Section 368 of the Code. The Parties adopt this Agreement as a “plan of reorganization” within the meaning of Sections 1.368-2(g) and 1.368-3(a) of the United States Treasury Regulations.</w:t>
      </w:r>
    </w:p>
    <w:p>
      <w:pPr>
        <w:spacing w:after="0" w:line="108"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Certificate of Incorporation and Bylaws</w:t>
      </w:r>
      <w:r>
        <w:rPr>
          <w:rFonts w:ascii="Times New Roman" w:cs="Times New Roman" w:eastAsia="Times New Roman" w:hAnsi="Times New Roman"/>
          <w:sz w:val="18"/>
          <w:szCs w:val="18"/>
          <w:color w:val="auto"/>
        </w:rPr>
        <w:t>. At the Effective Time, the Certificate of Incorporation and Bylaws of the Company, each as in effect immediately prior to the Effective Time, shall automatically be amended and restated in their entirety to read identically to the Certificate of Incorporation and Bylaws of Merger Sub, as in effect immediately prior to the Effective Time, and such amended and restated Certificate of Incorporation and Bylaws shall become the respective Certificate of Incorporation and Bylaws of the Surviving Corporation, except that the name of the Surviving Corporation in such Certificate of Incorporation and Bylaws shall be amended to be “Coeptis Therapeutics, Inc.”.</w:t>
      </w:r>
    </w:p>
    <w:p>
      <w:pPr>
        <w:spacing w:after="0" w:line="102"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Directors and Officers of the Surviving Corporation</w:t>
      </w:r>
      <w:r>
        <w:rPr>
          <w:rFonts w:ascii="Times New Roman" w:cs="Times New Roman" w:eastAsia="Times New Roman" w:hAnsi="Times New Roman"/>
          <w:sz w:val="18"/>
          <w:szCs w:val="18"/>
          <w:color w:val="auto"/>
        </w:rPr>
        <w:t xml:space="preserve">. At the Effective Time, the board of directors and executive officers of the Surviving Corporation shall be the board of directors and executive officers of the Purchaser, after giving effect to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each to hold office in accordance with the Certificate of Incorporation and Bylaws of the Surviving Corporation until their respective successors are duly elected or appointed and qualified or their earlier death, resignation or removal.</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Purchaser Certificate of Incorporation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220" w:firstLine="1304"/>
        <w:spacing w:after="0" w:line="266" w:lineRule="auto"/>
        <w:tabs>
          <w:tab w:leader="none" w:pos="153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Domestication, subject to the receipt of approval of the shareholders of the Purchaser, the Purchaser shall adopt a Delaware certificate of incorporation in a form to be agreed between the Purchaser and the Company acting reasonably and in good faith (the “</w:t>
      </w:r>
      <w:r>
        <w:rPr>
          <w:rFonts w:ascii="Times New Roman" w:cs="Times New Roman" w:eastAsia="Times New Roman" w:hAnsi="Times New Roman"/>
          <w:sz w:val="18"/>
          <w:szCs w:val="18"/>
          <w:b w:val="1"/>
          <w:bCs w:val="1"/>
          <w:i w:val="1"/>
          <w:iCs w:val="1"/>
          <w:color w:val="auto"/>
        </w:rPr>
        <w:t>Interim 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right="100" w:firstLine="1304"/>
        <w:spacing w:after="0" w:line="256" w:lineRule="auto"/>
        <w:tabs>
          <w:tab w:leader="none" w:pos="155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Effective Time, the Purchaser shall amend and restate its Certificate of Incorporation in a form to be agreed between the Purchaser and the Company acting reasonably in good faith (the “</w:t>
      </w:r>
      <w:r>
        <w:rPr>
          <w:rFonts w:ascii="Times New Roman" w:cs="Times New Roman" w:eastAsia="Times New Roman" w:hAnsi="Times New Roman"/>
          <w:sz w:val="18"/>
          <w:szCs w:val="18"/>
          <w:b w:val="1"/>
          <w:bCs w:val="1"/>
          <w:i w:val="1"/>
          <w:iCs w:val="1"/>
          <w:color w:val="auto"/>
        </w:rPr>
        <w:t>Final Purchaser Certificate of Incorporation</w:t>
      </w:r>
      <w:r>
        <w:rPr>
          <w:rFonts w:ascii="Times New Roman" w:cs="Times New Roman" w:eastAsia="Times New Roman" w:hAnsi="Times New Roman"/>
          <w:sz w:val="18"/>
          <w:szCs w:val="18"/>
          <w:color w:val="auto"/>
        </w:rPr>
        <w:t xml:space="preserve">”), which shall, among other matters, amend the Purchaser’s Certificate of Incorporation to (i) provide that the name of the Purchaser shall be changed to “Coeptis Therapeutics Holdings, Inc.”, or such other name as mutually agreed to by the Purchaser and the Company, (ii) provide for size and structure of the Post-Closing Purchaser Board in accordance with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and (iii) remove and change certain provisions in the Purchaser’s Certificate of Incorporation related to the Purchaser’s status as a blank check company.</w:t>
      </w:r>
    </w:p>
    <w:p>
      <w:pPr>
        <w:spacing w:after="0" w:line="120"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Pre-Closing Company Preferred Stock Exchange</w:t>
      </w:r>
      <w:r>
        <w:rPr>
          <w:rFonts w:ascii="Times New Roman" w:cs="Times New Roman" w:eastAsia="Times New Roman" w:hAnsi="Times New Roman"/>
          <w:sz w:val="18"/>
          <w:szCs w:val="18"/>
          <w:color w:val="auto"/>
        </w:rPr>
        <w:t>. On or prior to the Closing Date, the holders of Company Preferred Stock shall either exchange or convert all of their issued and outstanding shares of Company Preferred Stock for shares of Company Common Stock at the applicable conversion ratio (including any accrued or declared but unpaid dividends) as set forth in the Company Charter (the “</w:t>
      </w:r>
      <w:r>
        <w:rPr>
          <w:rFonts w:ascii="Times New Roman" w:cs="Times New Roman" w:eastAsia="Times New Roman" w:hAnsi="Times New Roman"/>
          <w:sz w:val="18"/>
          <w:szCs w:val="18"/>
          <w:b w:val="1"/>
          <w:bCs w:val="1"/>
          <w:i w:val="1"/>
          <w:iCs w:val="1"/>
          <w:color w:val="auto"/>
        </w:rPr>
        <w:t>Company Preferred Stock Exchange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As consideration for the Merger, the Company Security Holders collectively shall be entitled to receive from the Purchaser, in the aggregate, a number of shares of Purchaser Common Stock with an aggregate value equal to (the “</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 xml:space="preserve">”) (a) One Hundred Seventy-Five Million U.S. Dollars ($175,000,000), minus (or plus if positive) (b) the amount of Closing Net Debt, minus (c) the amount of any Transaction Expenses, with each Company Stockholder receiving for each share of Company Common Stock held (after giving effect to the Company Preferred Stock or otherwise treating shares of Company Preferred Stock on an as-converted to Company Common Stock basis, but excluding any Company Securities described in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 a number of shares of Purchaser Common Stock equal to (i) the Per Share Price, divided by (ii) the Redemption Price (the “</w:t>
      </w:r>
      <w:r>
        <w:rPr>
          <w:rFonts w:ascii="Times New Roman" w:cs="Times New Roman" w:eastAsia="Times New Roman" w:hAnsi="Times New Roman"/>
          <w:sz w:val="18"/>
          <w:szCs w:val="18"/>
          <w:b w:val="1"/>
          <w:bCs w:val="1"/>
          <w:i w:val="1"/>
          <w:iCs w:val="1"/>
          <w:color w:val="auto"/>
        </w:rPr>
        <w:t>Conversion Ratio</w:t>
      </w:r>
      <w:r>
        <w:rPr>
          <w:rFonts w:ascii="Times New Roman" w:cs="Times New Roman" w:eastAsia="Times New Roman" w:hAnsi="Times New Roman"/>
          <w:sz w:val="18"/>
          <w:szCs w:val="18"/>
          <w:color w:val="auto"/>
        </w:rPr>
        <w:t xml:space="preserve">”). The Merger Consideration will be based on the Closing Statement delivered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21" w:right="419" w:bottom="1440" w:gutter="0" w:footer="0" w:header="0"/>
        </w:sectPr>
      </w:pPr>
    </w:p>
    <w:bookmarkStart w:id="219" w:name="page220"/>
    <w:bookmarkEnd w:id="219"/>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Closing Calculations</w:t>
      </w:r>
      <w:r>
        <w:rPr>
          <w:rFonts w:ascii="Times New Roman" w:cs="Times New Roman" w:eastAsia="Times New Roman" w:hAnsi="Times New Roman"/>
          <w:sz w:val="18"/>
          <w:szCs w:val="18"/>
          <w:color w:val="auto"/>
        </w:rPr>
        <w:t>. Not later than three (3) Business Days prior to the Closing Date, the Company shall deliver to the Purchaser a statement certified by the Company’s chief executive officer (the “</w:t>
      </w:r>
      <w:r>
        <w:rPr>
          <w:rFonts w:ascii="Times New Roman" w:cs="Times New Roman" w:eastAsia="Times New Roman" w:hAnsi="Times New Roman"/>
          <w:sz w:val="18"/>
          <w:szCs w:val="18"/>
          <w:b w:val="1"/>
          <w:bCs w:val="1"/>
          <w:i w:val="1"/>
          <w:iCs w:val="1"/>
          <w:color w:val="auto"/>
        </w:rPr>
        <w:t>Closing Statement</w:t>
      </w:r>
      <w:r>
        <w:rPr>
          <w:rFonts w:ascii="Times New Roman" w:cs="Times New Roman" w:eastAsia="Times New Roman" w:hAnsi="Times New Roman"/>
          <w:sz w:val="18"/>
          <w:szCs w:val="18"/>
          <w:color w:val="auto"/>
        </w:rPr>
        <w:t>”) setting forth (a) a good faith calculation of the Company’s estimate of the Closing Net Debt and Transaction Expenses, in each case, as of the Reference Time, and the resulting Merger Consideration and Per Share Price based on such estimates, in reasonable detail including for each component thereof, along with the amount owed to each creditor of any of the Target Companies and other evidence reasonably necessary to confirm such calculations. Promptly upon delivering the Closing Statement to the Purchaser, if requested by the Purchaser, the Company will meet with the Purchaser to review and discuss the Closing Statement and the Company will consider in good faith the Purchaser’s comments to the Closing Statement and make any agreed adjustments to the Closing Statement prior to the Closing, which adjusted Closing Statement, as and if mutually approved by the Company and the Purchaser both acting reasonably and in good faith, shall thereafter become the Closing Statement for all purposes of this Agreement. The Closing Statement and the determinations contained therein shall be prepared in accordance with the Accounting Principles and otherwise in accordance with this Agreement.</w:t>
      </w:r>
    </w:p>
    <w:p>
      <w:pPr>
        <w:spacing w:after="0" w:line="113"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Effect of Merger on Company Securities.</w:t>
      </w:r>
      <w:r>
        <w:rPr>
          <w:rFonts w:ascii="Times New Roman" w:cs="Times New Roman" w:eastAsia="Times New Roman" w:hAnsi="Times New Roman"/>
          <w:sz w:val="18"/>
          <w:szCs w:val="18"/>
          <w:color w:val="auto"/>
        </w:rPr>
        <w:t xml:space="preserve"> At the Effective Time, by virtue of the Merger and without any action on the part of any Party or the holders of any Company Securities or the holders of any shares of capital stock of the Purchaser or Merger Sub:</w:t>
      </w:r>
    </w:p>
    <w:p>
      <w:pPr>
        <w:spacing w:after="0" w:line="92" w:lineRule="exact"/>
        <w:rPr>
          <w:sz w:val="20"/>
          <w:szCs w:val="20"/>
          <w:color w:val="auto"/>
        </w:rPr>
      </w:pPr>
    </w:p>
    <w:p>
      <w:pPr>
        <w:ind w:right="80" w:firstLine="1304"/>
        <w:spacing w:after="0" w:line="257" w:lineRule="auto"/>
        <w:tabs>
          <w:tab w:leader="none" w:pos="1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Stock</w:t>
      </w:r>
      <w:r>
        <w:rPr>
          <w:rFonts w:ascii="Times New Roman" w:cs="Times New Roman" w:eastAsia="Times New Roman" w:hAnsi="Times New Roman"/>
          <w:sz w:val="18"/>
          <w:szCs w:val="18"/>
          <w:color w:val="auto"/>
        </w:rPr>
        <w:t>. Subject to clause (b) below, all shares of Company Stock issued and outstanding immediately prior to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(after giving effect to the Company Preferred Stock) will automatically be canceled and cease to exist in exchange for the right to receive the Merger Consideration, with each Company Stockholder being entitled to receive its Pro Rata Share of the Merger Consideration, without interest, upon delivery of the Transmittal Documents in accordance with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(subject to clause (b) below). All shares of Company Preferred Stock will be treated on an as-converted to Company Common Stock basis. As of the Effective Time, each Company Stockholder shall cease to have any other rights in and to the Company or the Surviving Corporation (other than the rights set forth in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below).</w:t>
      </w:r>
    </w:p>
    <w:p>
      <w:pPr>
        <w:spacing w:after="0" w:line="114" w:lineRule="exact"/>
        <w:rPr>
          <w:rFonts w:ascii="Times New Roman" w:cs="Times New Roman" w:eastAsia="Times New Roman" w:hAnsi="Times New Roman"/>
          <w:sz w:val="18"/>
          <w:szCs w:val="18"/>
          <w:color w:val="auto"/>
        </w:rPr>
      </w:pPr>
    </w:p>
    <w:p>
      <w:pPr>
        <w:ind w:right="40" w:firstLine="1304"/>
        <w:spacing w:after="0" w:line="261" w:lineRule="auto"/>
        <w:tabs>
          <w:tab w:leader="none" w:pos="155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Treasury Stock</w:t>
      </w:r>
      <w:r>
        <w:rPr>
          <w:rFonts w:ascii="Times New Roman" w:cs="Times New Roman" w:eastAsia="Times New Roman" w:hAnsi="Times New Roman"/>
          <w:sz w:val="18"/>
          <w:szCs w:val="18"/>
          <w:color w:val="auto"/>
        </w:rPr>
        <w:t>. Notwithstanding clause (a) above or any other provision of this Agreement to the contrary, at the Effective Time,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any Company Securities that are owned by the Company as treasury shares or any Company Securities owned by any direct or indirect Subsidiary of the Company immediately prior to the Effective Time, such Company Securities shall be canceled and shall cease to exist without any conversion thereof or payment therefor.</w:t>
      </w:r>
    </w:p>
    <w:p>
      <w:pPr>
        <w:spacing w:after="0" w:line="98" w:lineRule="exact"/>
        <w:rPr>
          <w:rFonts w:ascii="Times New Roman" w:cs="Times New Roman" w:eastAsia="Times New Roman" w:hAnsi="Times New Roman"/>
          <w:sz w:val="18"/>
          <w:szCs w:val="18"/>
          <w:color w:val="auto"/>
        </w:rPr>
      </w:pPr>
    </w:p>
    <w:p>
      <w:pPr>
        <w:ind w:right="140" w:firstLine="1304"/>
        <w:spacing w:after="0" w:line="315" w:lineRule="auto"/>
        <w:tabs>
          <w:tab w:leader="none" w:pos="15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Dissenting Shares. </w:t>
      </w:r>
      <w:r>
        <w:rPr>
          <w:rFonts w:ascii="Times New Roman" w:cs="Times New Roman" w:eastAsia="Times New Roman" w:hAnsi="Times New Roman"/>
          <w:sz w:val="17"/>
          <w:szCs w:val="17"/>
          <w:color w:val="auto"/>
        </w:rPr>
        <w:t>Each of the Dissenting Shares issued and outstanding immediately prior to the Effective Time shall be canceled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cease to exist in accordance with </w:t>
      </w:r>
      <w:r>
        <w:rPr>
          <w:rFonts w:ascii="Times New Roman" w:cs="Times New Roman" w:eastAsia="Times New Roman" w:hAnsi="Times New Roman"/>
          <w:sz w:val="17"/>
          <w:szCs w:val="17"/>
          <w:u w:val="single" w:color="auto"/>
          <w:color w:val="auto"/>
        </w:rPr>
        <w:t>Section 1.15</w:t>
      </w:r>
      <w:r>
        <w:rPr>
          <w:rFonts w:ascii="Times New Roman" w:cs="Times New Roman" w:eastAsia="Times New Roman" w:hAnsi="Times New Roman"/>
          <w:sz w:val="17"/>
          <w:szCs w:val="17"/>
          <w:color w:val="auto"/>
        </w:rPr>
        <w:t xml:space="preserve"> and shall thereafter represent only the right to receive the applicable payments set forth in </w:t>
      </w:r>
      <w:r>
        <w:rPr>
          <w:rFonts w:ascii="Times New Roman" w:cs="Times New Roman" w:eastAsia="Times New Roman" w:hAnsi="Times New Roman"/>
          <w:sz w:val="17"/>
          <w:szCs w:val="17"/>
          <w:u w:val="single" w:color="auto"/>
          <w:color w:val="auto"/>
        </w:rPr>
        <w:t>Section 1.15</w:t>
      </w:r>
      <w:r>
        <w:rPr>
          <w:rFonts w:ascii="Times New Roman" w:cs="Times New Roman" w:eastAsia="Times New Roman" w:hAnsi="Times New Roman"/>
          <w:sz w:val="17"/>
          <w:szCs w:val="17"/>
          <w:color w:val="auto"/>
        </w:rPr>
        <w:t>.</w:t>
      </w:r>
    </w:p>
    <w:p>
      <w:pPr>
        <w:spacing w:after="0" w:line="67" w:lineRule="exact"/>
        <w:rPr>
          <w:rFonts w:ascii="Times New Roman" w:cs="Times New Roman" w:eastAsia="Times New Roman" w:hAnsi="Times New Roman"/>
          <w:sz w:val="17"/>
          <w:szCs w:val="17"/>
          <w:color w:val="auto"/>
        </w:rPr>
      </w:pPr>
    </w:p>
    <w:p>
      <w:pPr>
        <w:ind w:left="1560" w:hanging="256"/>
        <w:spacing w:after="0"/>
        <w:tabs>
          <w:tab w:leader="none" w:pos="15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Warrants</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right="200" w:firstLine="1952"/>
        <w:spacing w:after="0" w:line="266" w:lineRule="auto"/>
        <w:tabs>
          <w:tab w:leader="none" w:pos="2159"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Warrant (whether vested or unvested) that is not a Specified Company Warrant, if not exercised prior to the Effective Time, shall be canceled, retired and terminated and cease to represent a right to acquire, be exchanged for or convert into shares of Company Stock.</w:t>
      </w:r>
    </w:p>
    <w:p>
      <w:pPr>
        <w:spacing w:after="0" w:line="94" w:lineRule="exact"/>
        <w:rPr>
          <w:rFonts w:ascii="Times New Roman" w:cs="Times New Roman" w:eastAsia="Times New Roman" w:hAnsi="Times New Roman"/>
          <w:sz w:val="18"/>
          <w:szCs w:val="18"/>
          <w:color w:val="auto"/>
        </w:rPr>
      </w:pPr>
    </w:p>
    <w:p>
      <w:pPr>
        <w:ind w:firstLine="1952"/>
        <w:spacing w:after="0" w:line="254" w:lineRule="auto"/>
        <w:tabs>
          <w:tab w:leader="none" w:pos="2209"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Specified Company Warrant that is outstanding and unexercised immediately prior to the Effective Time shall be assumed by the Purchaser and automatically converted into a warrant for shares of Purchaser Common Stock (each, an “</w:t>
      </w:r>
      <w:r>
        <w:rPr>
          <w:rFonts w:ascii="Times New Roman" w:cs="Times New Roman" w:eastAsia="Times New Roman" w:hAnsi="Times New Roman"/>
          <w:sz w:val="18"/>
          <w:szCs w:val="18"/>
          <w:b w:val="1"/>
          <w:bCs w:val="1"/>
          <w:i w:val="1"/>
          <w:iCs w:val="1"/>
          <w:color w:val="auto"/>
        </w:rPr>
        <w:t>Assumed Warrant</w:t>
      </w:r>
      <w:r>
        <w:rPr>
          <w:rFonts w:ascii="Times New Roman" w:cs="Times New Roman" w:eastAsia="Times New Roman" w:hAnsi="Times New Roman"/>
          <w:sz w:val="18"/>
          <w:szCs w:val="18"/>
          <w:color w:val="auto"/>
        </w:rPr>
        <w:t>”). Subject to the subsequent sentence, each Assumed Warrant will be subject to the same terms and conditions as the Specified Company Warrant so assumed (except that any references therein to the Company or Company Stock will instead mean the Purchaser and Purchaser Common Stock, respectively). Each Assumed Warrant shall: (A) confer the right to acquire a number of shares of Purchaser Common Stock equal to (as rounded down to the nearest whole number) the product of (1) the number of shares of Company Common Stock) which the Specified Company Warrant had the right to acquire immediately prior to the Effective Time, multiplied by (2) the Conversion Ratio; (B) have an exercise price equal to (as rounded up to the nearest whole cent) the quotient of (1) the exercise price of the Specified Company Warrant (in U.S. Dollars), divided by (2) the Conversion Ratio; and (C) be subject to the same vesting schedule, if any, as the applicable Specified Company Warrant.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20" w:name="page221"/>
    <w:bookmarkEnd w:id="220"/>
    <w:p>
      <w:pPr>
        <w:ind w:left="-40" w:right="20" w:firstLine="1304"/>
        <w:spacing w:after="0" w:line="267" w:lineRule="auto"/>
        <w:tabs>
          <w:tab w:leader="none" w:pos="15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Company Convertible Securities</w:t>
      </w:r>
      <w:r>
        <w:rPr>
          <w:rFonts w:ascii="Times New Roman" w:cs="Times New Roman" w:eastAsia="Times New Roman" w:hAnsi="Times New Roman"/>
          <w:sz w:val="18"/>
          <w:szCs w:val="18"/>
          <w:color w:val="auto"/>
        </w:rPr>
        <w:t>. Any other Company Convertible Security other than a Company Warrant and Permitted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not exercised or converted prior to the Effective Time, shall be canceled, retired and terminated and cease to represent a right to acquire, be exchanged for or convert into shares of Company Stock.</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Surrender of Company Securities and Disbursement of Merger Consideration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0" w:firstLine="1304"/>
        <w:spacing w:after="0" w:line="258" w:lineRule="auto"/>
        <w:tabs>
          <w:tab w:leader="none" w:pos="150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Purchaser shall appoint its transfer agent, Continental Stock Transfer &amp; Trust Company, or another agent reasonably acceptable to the Company (the “</w:t>
      </w:r>
      <w:r>
        <w:rPr>
          <w:rFonts w:ascii="Times New Roman" w:cs="Times New Roman" w:eastAsia="Times New Roman" w:hAnsi="Times New Roman"/>
          <w:sz w:val="18"/>
          <w:szCs w:val="18"/>
          <w:b w:val="1"/>
          <w:bCs w:val="1"/>
          <w:i w:val="1"/>
          <w:iCs w:val="1"/>
          <w:color w:val="auto"/>
        </w:rPr>
        <w:t>Exchange Agent</w:t>
      </w:r>
      <w:r>
        <w:rPr>
          <w:rFonts w:ascii="Times New Roman" w:cs="Times New Roman" w:eastAsia="Times New Roman" w:hAnsi="Times New Roman"/>
          <w:sz w:val="18"/>
          <w:szCs w:val="18"/>
          <w:color w:val="auto"/>
        </w:rPr>
        <w:t>”), for the purpose of accepting each Letter of Transmittal. At or prior to the Effective Time, the Purchaser shall deposit, or cause to be deposited, with the Exchange Agent the Merger Consideration. At or prior to the Effective Time, the Purchaser shall send, or shall cause the Exchange Agent to send, to each Company Stockholder, a letter of transmittal for use in such exchange (a “</w:t>
      </w:r>
      <w:r>
        <w:rPr>
          <w:rFonts w:ascii="Times New Roman" w:cs="Times New Roman" w:eastAsia="Times New Roman" w:hAnsi="Times New Roman"/>
          <w:sz w:val="18"/>
          <w:szCs w:val="18"/>
          <w:b w:val="1"/>
          <w:bCs w:val="1"/>
          <w:i w:val="1"/>
          <w:iCs w:val="1"/>
          <w:color w:val="auto"/>
        </w:rPr>
        <w:t>Letter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Transmittal</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40" w:firstLine="1304"/>
        <w:spacing w:after="0" w:line="256" w:lineRule="auto"/>
        <w:tabs>
          <w:tab w:leader="none" w:pos="151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Stockholder shall be entitled to receive its Pro Rata Share of the Merger Consideration in respect of the Company Stock held by such Company Stockholder (excluding any Company Securities described in </w:t>
      </w:r>
      <w:r>
        <w:rPr>
          <w:rFonts w:ascii="Times New Roman" w:cs="Times New Roman" w:eastAsia="Times New Roman" w:hAnsi="Times New Roman"/>
          <w:sz w:val="18"/>
          <w:szCs w:val="18"/>
          <w:u w:val="single" w:color="auto"/>
          <w:color w:val="auto"/>
        </w:rPr>
        <w:t>Sections 1.11(b)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1.11(c)</w:t>
      </w:r>
      <w:r>
        <w:rPr>
          <w:rFonts w:ascii="Times New Roman" w:cs="Times New Roman" w:eastAsia="Times New Roman" w:hAnsi="Times New Roman"/>
          <w:sz w:val="18"/>
          <w:szCs w:val="18"/>
          <w:color w:val="auto"/>
        </w:rPr>
        <w:t>), as soon as reasonably practicable after the Effective Time, but subject to the delivery to the Exchange Agent of the following items prior thereto (collectively, the “</w:t>
      </w:r>
      <w:r>
        <w:rPr>
          <w:rFonts w:ascii="Times New Roman" w:cs="Times New Roman" w:eastAsia="Times New Roman" w:hAnsi="Times New Roman"/>
          <w:sz w:val="18"/>
          <w:szCs w:val="18"/>
          <w:b w:val="1"/>
          <w:bCs w:val="1"/>
          <w:i w:val="1"/>
          <w:iCs w:val="1"/>
          <w:color w:val="auto"/>
        </w:rPr>
        <w:t>Transmittal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(i) a properly completed and duly executed Letter of Transmittal and (ii) such other documents as may be reasonably requested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Agent or the Purchaser. The Company Stock held by such Company Stockholder shall represent after the Effective Time for all purposes only the right to receive such portion of the Merger Consideration attributable to such Company Stock.</w:t>
      </w:r>
    </w:p>
    <w:p>
      <w:pPr>
        <w:spacing w:after="0" w:line="106" w:lineRule="exact"/>
        <w:rPr>
          <w:rFonts w:ascii="Times New Roman" w:cs="Times New Roman" w:eastAsia="Times New Roman" w:hAnsi="Times New Roman"/>
          <w:sz w:val="18"/>
          <w:szCs w:val="18"/>
          <w:color w:val="auto"/>
        </w:rPr>
      </w:pPr>
    </w:p>
    <w:p>
      <w:pPr>
        <w:ind w:left="-40" w:right="20" w:firstLine="1304"/>
        <w:spacing w:after="0" w:line="254" w:lineRule="auto"/>
        <w:tabs>
          <w:tab w:leader="none" w:pos="150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the Merger Consideration is to be delivered or issued to a Person other than the Person in whose name the Company Stock is registered in the books and records of the Company immediately prior to the Effective Time, it shall be a condition to such delivery that (i) the transfer of such Company Stock shall have been permitted in accordance with the terms of the Company’s Organizational Documents and any stockholders agreement with respect to the Company, each as in effect immediately prior to the Effective Time, (ii) the recipient of such portion of the Merger Consideration, or the Person in whose name such portion of the Merger Consideration is delivered or issued, shall have already executed and delivered, if a Significant Company Holder, counterparts to a Lock-Up Agreement, and such other Transmittal Documents as are reasonably deemed necessary by the Exchange Agent or the Purchaser and (iii) the Person requesting such delivery shall pay to the Exchange Agent any transfer or other Taxes required as a result of such delivery to a Person other than the registered holder of such Company Stock or establish to the satisfaction of the Exchange Agent that such Tax has been paid or is not payable.</w:t>
      </w:r>
    </w:p>
    <w:p>
      <w:pPr>
        <w:spacing w:after="0" w:line="120" w:lineRule="exact"/>
        <w:rPr>
          <w:rFonts w:ascii="Times New Roman" w:cs="Times New Roman" w:eastAsia="Times New Roman" w:hAnsi="Times New Roman"/>
          <w:sz w:val="18"/>
          <w:szCs w:val="18"/>
          <w:color w:val="auto"/>
        </w:rPr>
      </w:pPr>
    </w:p>
    <w:p>
      <w:pPr>
        <w:ind w:left="-40" w:firstLine="1304"/>
        <w:spacing w:after="0" w:line="273" w:lineRule="auto"/>
        <w:tabs>
          <w:tab w:leader="none" w:pos="1501"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Effective Time, there shall be no further registration of transfers of Company Stock. No dividends or other distributions declared or made after the date of this Agreement with respect to Purchaser Common Stock with a record date after the Effective Time will be paid to the holders of any Company Stock that have not yet been surrendered with respect to the Purchaser Common Stock to be issued upon surrender thereof until the holders of record of such Company Stock shall have surrendered such Company Stock by providing the applicable Transmittal Documents. Subject to applicable Law, following surrender of any such Company Stock by delivery of the applicable Transmittal Documents, the Purchaser shall promptly deliver to the record holders thereof, without interest, the certificates representing the Purchaser Common Stock issued in exchange therefor and the amount of any such dividends or other distributions with a record date after the Effective Time theretofore paid with respect to such Purchaser Common Stock.</w:t>
      </w:r>
    </w:p>
    <w:p>
      <w:pPr>
        <w:spacing w:after="0" w:line="103" w:lineRule="exact"/>
        <w:rPr>
          <w:rFonts w:ascii="Times New Roman" w:cs="Times New Roman" w:eastAsia="Times New Roman" w:hAnsi="Times New Roman"/>
          <w:sz w:val="17"/>
          <w:szCs w:val="17"/>
          <w:color w:val="auto"/>
        </w:rPr>
      </w:pPr>
    </w:p>
    <w:p>
      <w:pPr>
        <w:ind w:left="-40" w:right="20" w:firstLine="1304"/>
        <w:spacing w:after="0" w:line="254" w:lineRule="auto"/>
        <w:tabs>
          <w:tab w:leader="none" w:pos="149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securities issued upon the surrender of Company Securities in accordance with the terms hereof shall be deemed to have been issued in full satisfaction of all rights pertaining to such Company Securities. Any portion of the Merger Consideration made available to the Exchange Agent pursuant to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that remains unclaimed by Company Stockholders two (2) years after the Effective Time shall be returned to the Purchaser, upon demand, and any such Company Stockholder who has not exchanged its Company Stock for the applicable portion of the Merger Consideration in accordance with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prior to that time shall thereafter look only to the Purchaser for payment of the portion of the Merger Consideration in respect of such shares of Company Stock without any interest thereon (but with any dividends paid with respect thereto). Notwithstanding the foregoing, none of the Surviving Corporation, the Purchaser or any Party hereto shall be liable to any Person for any amount properly paid to a public official pursuant to any applicable abandoned property, escheat or similar law.</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619" w:right="359" w:bottom="1440" w:gutter="0" w:footer="0" w:header="0"/>
        </w:sectPr>
      </w:pPr>
    </w:p>
    <w:bookmarkStart w:id="221" w:name="page222"/>
    <w:bookmarkEnd w:id="221"/>
    <w:p>
      <w:pPr>
        <w:ind w:left="1520" w:hanging="216"/>
        <w:spacing w:after="0"/>
        <w:tabs>
          <w:tab w:leader="none" w:pos="152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shall not issue Assumed Warrants for Specified Company Warrants until it shall have received from each holder thereof</w:t>
      </w:r>
    </w:p>
    <w:p>
      <w:pPr>
        <w:spacing w:after="0" w:line="38" w:lineRule="exact"/>
        <w:rPr>
          <w:rFonts w:ascii="Times New Roman" w:cs="Times New Roman" w:eastAsia="Times New Roman" w:hAnsi="Times New Roman"/>
          <w:sz w:val="17"/>
          <w:szCs w:val="17"/>
          <w:color w:val="auto"/>
        </w:rPr>
      </w:pPr>
    </w:p>
    <w:p>
      <w:pPr>
        <w:ind w:right="360" w:firstLine="8"/>
        <w:spacing w:after="0" w:line="260" w:lineRule="auto"/>
        <w:tabs>
          <w:tab w:leader="none" w:pos="2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Letter of Transmittal with respect to such Specified Company Warrant, and (ii) a duly executed counterpart to the agreement for the Assumed Warrant, which among other matters will release the Company from its obligations with respect to the Specified Company Warrant.</w:t>
      </w:r>
    </w:p>
    <w:p>
      <w:pPr>
        <w:spacing w:after="0" w:line="100" w:lineRule="exact"/>
        <w:rPr>
          <w:rFonts w:ascii="Times New Roman" w:cs="Times New Roman" w:eastAsia="Times New Roman" w:hAnsi="Times New Roman"/>
          <w:sz w:val="18"/>
          <w:szCs w:val="18"/>
          <w:color w:val="auto"/>
        </w:rPr>
      </w:pPr>
    </w:p>
    <w:p>
      <w:pPr>
        <w:ind w:right="20" w:firstLine="1304"/>
        <w:spacing w:after="0" w:line="281" w:lineRule="auto"/>
        <w:tabs>
          <w:tab w:leader="none" w:pos="1551"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herein, no fraction of a share of Purchaser Common Stock will be issued by virtue of the Merger or the transactions contemplated hereby, and each Person who would otherwise be entitled to a fraction of a share of Purchaser Common Stock (after aggregating all fractional shares of Purchaser Common Stock that otherwise would be received by such holder) shall instead have the number of shares of Purchaser Common Stock issued to such Person rounded down in the aggregate to the nearest whole share of Purchaser Common Stock.</w:t>
      </w:r>
    </w:p>
    <w:p>
      <w:pPr>
        <w:spacing w:after="0" w:line="70" w:lineRule="exact"/>
        <w:rPr>
          <w:sz w:val="20"/>
          <w:szCs w:val="20"/>
          <w:color w:val="auto"/>
        </w:rPr>
      </w:pPr>
    </w:p>
    <w:p>
      <w:pPr>
        <w:jc w:val="both"/>
        <w:ind w:right="40" w:firstLine="432"/>
        <w:spacing w:after="0" w:line="26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Effect of Transaction on Merger Sub Stock</w:t>
      </w:r>
      <w:r>
        <w:rPr>
          <w:rFonts w:ascii="Times New Roman" w:cs="Times New Roman" w:eastAsia="Times New Roman" w:hAnsi="Times New Roman"/>
          <w:sz w:val="18"/>
          <w:szCs w:val="18"/>
          <w:color w:val="auto"/>
        </w:rPr>
        <w:t>. At the Effective Time, by virtue of the Merger and without any action on the part of any Party or the holders of any Company Securities or the holders of any shares of capital stock of the Purchaser or Merger Sub, each share of Merger Sub Common Stock outstanding immediately prior to the Effective Time shall be converted into an equal number of shares of common stock of the Surviving Corporation, and shall thereafter constitute the only outstanding shares of capital stock of the Surviving Corporation.</w:t>
      </w:r>
    </w:p>
    <w:p>
      <w:pPr>
        <w:spacing w:after="0" w:line="85" w:lineRule="exact"/>
        <w:rPr>
          <w:sz w:val="20"/>
          <w:szCs w:val="20"/>
          <w:color w:val="auto"/>
        </w:rPr>
      </w:pPr>
    </w:p>
    <w:p>
      <w:pPr>
        <w:jc w:val="both"/>
        <w:ind w:right="100" w:firstLine="432"/>
        <w:spacing w:after="0" w:line="281" w:lineRule="auto"/>
        <w:rPr>
          <w:sz w:val="20"/>
          <w:szCs w:val="20"/>
          <w:color w:val="auto"/>
        </w:rPr>
      </w:pPr>
      <w:r>
        <w:rPr>
          <w:rFonts w:ascii="Times New Roman" w:cs="Times New Roman" w:eastAsia="Times New Roman" w:hAnsi="Times New Roman"/>
          <w:sz w:val="17"/>
          <w:szCs w:val="17"/>
          <w:color w:val="auto"/>
        </w:rPr>
        <w:t xml:space="preserve">1.14 </w:t>
      </w:r>
      <w:r>
        <w:rPr>
          <w:rFonts w:ascii="Times New Roman" w:cs="Times New Roman" w:eastAsia="Times New Roman" w:hAnsi="Times New Roman"/>
          <w:sz w:val="17"/>
          <w:szCs w:val="17"/>
          <w:u w:val="single" w:color="auto"/>
          <w:color w:val="auto"/>
        </w:rPr>
        <w:t>Taking of Necessary Action; Further Action</w:t>
      </w:r>
      <w:r>
        <w:rPr>
          <w:rFonts w:ascii="Times New Roman" w:cs="Times New Roman" w:eastAsia="Times New Roman" w:hAnsi="Times New Roman"/>
          <w:sz w:val="17"/>
          <w:szCs w:val="17"/>
          <w:color w:val="auto"/>
        </w:rPr>
        <w:t>.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and Merger Sub, the officers and directors of the Company and Merger Sub are fully authorized in the name of their respective corporations or otherwise to take, and will take, all such lawful and necessary action, so long as such action is not inconsistent with this Agreement.</w:t>
      </w:r>
    </w:p>
    <w:p>
      <w:pPr>
        <w:spacing w:after="0" w:line="83"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Appraisal and Dissenter’s Rights</w:t>
      </w:r>
      <w:r>
        <w:rPr>
          <w:rFonts w:ascii="Times New Roman" w:cs="Times New Roman" w:eastAsia="Times New Roman" w:hAnsi="Times New Roman"/>
          <w:sz w:val="18"/>
          <w:szCs w:val="18"/>
          <w:color w:val="auto"/>
        </w:rPr>
        <w:t>. No Company Stockholder who has validly exercised its appraisal rights pursuant to Section 262 of the DGCL (a “</w:t>
      </w:r>
      <w:r>
        <w:rPr>
          <w:rFonts w:ascii="Times New Roman" w:cs="Times New Roman" w:eastAsia="Times New Roman" w:hAnsi="Times New Roman"/>
          <w:sz w:val="18"/>
          <w:szCs w:val="18"/>
          <w:b w:val="1"/>
          <w:bCs w:val="1"/>
          <w:i w:val="1"/>
          <w:iCs w:val="1"/>
          <w:color w:val="auto"/>
        </w:rPr>
        <w:t>Dissenting Stockholder</w:t>
      </w:r>
      <w:r>
        <w:rPr>
          <w:rFonts w:ascii="Times New Roman" w:cs="Times New Roman" w:eastAsia="Times New Roman" w:hAnsi="Times New Roman"/>
          <w:sz w:val="18"/>
          <w:szCs w:val="18"/>
          <w:color w:val="auto"/>
        </w:rPr>
        <w:t>”) with respect to its Company Stock (such shares, “</w:t>
      </w:r>
      <w:r>
        <w:rPr>
          <w:rFonts w:ascii="Times New Roman" w:cs="Times New Roman" w:eastAsia="Times New Roman" w:hAnsi="Times New Roman"/>
          <w:sz w:val="18"/>
          <w:szCs w:val="18"/>
          <w:b w:val="1"/>
          <w:bCs w:val="1"/>
          <w:i w:val="1"/>
          <w:iCs w:val="1"/>
          <w:color w:val="auto"/>
        </w:rPr>
        <w:t>Dissenting Shares</w:t>
      </w:r>
      <w:r>
        <w:rPr>
          <w:rFonts w:ascii="Times New Roman" w:cs="Times New Roman" w:eastAsia="Times New Roman" w:hAnsi="Times New Roman"/>
          <w:sz w:val="18"/>
          <w:szCs w:val="18"/>
          <w:color w:val="auto"/>
        </w:rPr>
        <w:t xml:space="preserve">”) shall be entitled to receive any portion of the Merger Consideration with respect to the Dissenting Shares owned by such Dissenting Stockholder unless and until such Dissenting Stockholder shall have effectively withdrawn or lost its appraisal rights under the DGCL. Each Dissenting Stockholder shall be entitled to receive only the payment resulting from the procedure set forth in Section 262 of the DGCL with respect to the Dissenting Shares owned by such Dissenting Stockholder. The Company shall give the Purchaser (i) prompt notice of any written demands for appraisal, attempted withdrawals of such demands, and any other instruments served pursuant to applicable Laws that are received by the Company relating to any Dissenting Stockholder’s rights of appraisal and (ii) the opportunity to participate in all negotiations and proceedings with respect to demand for appraisal under the DGCL. The Company shall not, except with the prior written consent of the Purchaser, voluntarily make any payment with respect to any demands for appraisal, offer to settle or settle any such demands or approve any withdrawal of any such demands. Notwithstanding anything to the contrary contained in this Agreement, for all purposes of this Agreement, the Merger Consideration shall be reduced by the Pro Rata Share of any Dissenting Stockholders attributable to any Dissenting Shares and the Dissenting Stockholders shall have no rights to any portion of the Merger Consideration with respect to any Dissenting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amount of Merger Consideration reduction resulting from the Pro Rata reduction is not fully-realized by the Dissenting Stockholders (such difference, the “</w:t>
      </w:r>
      <w:r>
        <w:rPr>
          <w:rFonts w:ascii="Times New Roman" w:cs="Times New Roman" w:eastAsia="Times New Roman" w:hAnsi="Times New Roman"/>
          <w:sz w:val="18"/>
          <w:szCs w:val="18"/>
          <w:b w:val="1"/>
          <w:bCs w:val="1"/>
          <w:i w:val="1"/>
          <w:iCs w:val="1"/>
          <w:color w:val="auto"/>
        </w:rPr>
        <w:t>Excess Reduction Amount</w:t>
      </w:r>
      <w:r>
        <w:rPr>
          <w:rFonts w:ascii="Times New Roman" w:cs="Times New Roman" w:eastAsia="Times New Roman" w:hAnsi="Times New Roman"/>
          <w:sz w:val="18"/>
          <w:szCs w:val="18"/>
          <w:color w:val="auto"/>
        </w:rPr>
        <w:t>”), such Excess Reduction Amount shall be distributed to the non-dissenting Company Stockholders, in cash, proportionately based on their relative holdings in relation to each other.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p>
    <w:p>
      <w:pPr>
        <w:spacing w:after="0" w:line="13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Subject to the satisfaction or waiver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the consummation of the transactions contemplated by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take place at the offices of Ellenoff Grossman &amp; Schole LLP (“</w:t>
      </w:r>
      <w:r>
        <w:rPr>
          <w:rFonts w:ascii="Times New Roman" w:cs="Times New Roman" w:eastAsia="Times New Roman" w:hAnsi="Times New Roman"/>
          <w:sz w:val="18"/>
          <w:szCs w:val="18"/>
          <w:b w:val="1"/>
          <w:bCs w:val="1"/>
          <w:i w:val="1"/>
          <w:iCs w:val="1"/>
          <w:color w:val="auto"/>
        </w:rPr>
        <w:t>EGS</w:t>
      </w:r>
      <w:r>
        <w:rPr>
          <w:rFonts w:ascii="Times New Roman" w:cs="Times New Roman" w:eastAsia="Times New Roman" w:hAnsi="Times New Roman"/>
          <w:sz w:val="18"/>
          <w:szCs w:val="18"/>
          <w:color w:val="auto"/>
        </w:rPr>
        <w:t>”), counsel to the Purchaser, 1345 Avenue of the Americas, New York, NY 10105, on a date and at a time to be agreed upon by the Purchaser and the Company, which date shall be no later than the second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8"/>
          <w:szCs w:val="18"/>
          <w:color w:val="auto"/>
        </w:rPr>
        <w:t>) Business Day after all the Closing conditions to this Agreement have been satisfied or waived, or at such other date, time or place (including remotely) as the Purchaser and the Company may agree (the date and time at which the Closing is actually held being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PURCHASER AND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1348105</wp:posOffset>
            </wp:positionH>
            <wp:positionV relativeFrom="paragraph">
              <wp:posOffset>-19050</wp:posOffset>
            </wp:positionV>
            <wp:extent cx="44456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445635" cy="8890"/>
                    </a:xfrm>
                    <a:prstGeom prst="rect">
                      <a:avLst/>
                    </a:prstGeom>
                    <a:noFill/>
                  </pic:spPr>
                </pic:pic>
              </a:graphicData>
            </a:graphic>
          </wp:anchor>
        </w:drawing>
      </w:r>
    </w:p>
    <w:p>
      <w:pPr>
        <w:spacing w:after="0" w:line="102"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8"/>
          <w:szCs w:val="18"/>
          <w:color w:val="auto"/>
        </w:rPr>
        <w:t>Except as set forth in (i) the disclosure schedules delivered by the Purchaser and Merger Sub to the Company on the date hereof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Disclosure Schedules</w:t>
      </w:r>
      <w:r>
        <w:rPr>
          <w:rFonts w:ascii="Times New Roman" w:cs="Times New Roman" w:eastAsia="Times New Roman" w:hAnsi="Times New Roman"/>
          <w:sz w:val="18"/>
          <w:szCs w:val="18"/>
          <w:color w:val="auto"/>
        </w:rPr>
        <w:t>”), the Section numbers of which are numbered to correspond to the Section numbers of this Agreement to which they refer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(provided, however, that an item disclosed in any Section of the Purchaser Disclosure Schedules shall be deemed to have been disclosed with respect to all other Sections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to which the relevance of such disclosure is reasonably apparent on its face), or (ii) the Purchaser SEC Reports that are available on the SEC’s web site through EDGAR, the Purchaser and Merger Sub, jointly and severally, represent and warrant to the Company, as of the date hereof and as of the Closing, as follows:</w:t>
      </w:r>
    </w:p>
    <w:p>
      <w:pPr>
        <w:spacing w:after="0" w:line="119"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Standing</w:t>
      </w:r>
      <w:r>
        <w:rPr>
          <w:rFonts w:ascii="Times New Roman" w:cs="Times New Roman" w:eastAsia="Times New Roman" w:hAnsi="Times New Roman"/>
          <w:sz w:val="18"/>
          <w:szCs w:val="18"/>
          <w:color w:val="auto"/>
        </w:rPr>
        <w:t>. The Purchaser and Merger Sub are each companies duly incorporated or organized (as the case may be), validly existing and in good standing under the Laws of the jurisdiction of its incorporation or organization. Each of the Purchaser and Merger Sub has all requisite corporate power and authority to own, lease and operate its properties and to carry on its business as now being conducted. Each of the Purchaser and Merger Sub is duly qualified or licensed and in good standing to do business in each jurisdiction in which the character of the property owned, leased or operated by it or the nature of the business conducted by it makes such qualification or licensing necessary, except where the failure to be so qualified or licensed or in good standing can be cured without material cost or expense. Each of the Purchaser and Merger Sub has heretofore made available to the Company accurate and complete copies of its Organizational Documents, as currently in effect. Each of the Purchaser and Merger Sub is not in violation of any provision of its Organizational Documents in any material respect.</w:t>
      </w:r>
    </w:p>
    <w:p>
      <w:pPr>
        <w:spacing w:after="0" w:line="124" w:lineRule="exact"/>
        <w:rPr>
          <w:sz w:val="20"/>
          <w:szCs w:val="20"/>
          <w:color w:val="auto"/>
        </w:rPr>
      </w:pPr>
    </w:p>
    <w:p>
      <w:pPr>
        <w:ind w:right="20" w:firstLine="432"/>
        <w:spacing w:after="0" w:line="25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Authorization; Binding Agreement</w:t>
      </w:r>
      <w:r>
        <w:rPr>
          <w:rFonts w:ascii="Times New Roman" w:cs="Times New Roman" w:eastAsia="Times New Roman" w:hAnsi="Times New Roman"/>
          <w:sz w:val="18"/>
          <w:szCs w:val="18"/>
          <w:color w:val="auto"/>
        </w:rPr>
        <w:t>. Each of the Purchaser and Merger Sub has all requisite corporate power and authority to execute and deliver this Agreement and each Ancillary Document to which it is a party, to perform the Purchaser’s and Merger Sub’s respective obligations hereunder and thereunder and to consummate the transactions contemplated hereby and thereby, subject to obtaining the Required Purchaser Stockholder Approval. The execution and delivery of this Agreement and each Ancillary Document to which it is a party and the consummation of the transactions contemplated hereby and thereby (a) have been duly and validly authorized by the board of directors of the Purchaser and Merger Sub, and (b) other than the Required Purchaser Stockholder Approval, no other corporate proceedings, other than as set forth elsewhere in the Agreement, on the part of the Purchaser or Merger Sub are necessary to authorize the execution and delivery of this Agreement and each Ancillary Document to which it is a party or to consummate the transactions contemplated hereby and thereby. On or prior to the date of this Agreement, the Purchaser’s and Merger Sub’s boards of directors, by resolutions adopted at a meeting duly called and held or by unanimous written consent, (i) determined that this Agreement and the transactions contemplated hereby, including the Merger, are advisable, fair to and in the best interests of the Purchaser’s stockholders in accordance with the DGCL or the Companies Act, as applicable, (ii) approved and adopted this Agreement, the Merger and the other transactions contemplated by this Agreement in accordance with the DGCL or the Companies Act, as applicable and the Purchaser’s and Merger Sub’s Organizational Documents, (iii) resolved to recommend that the Purchaser’s stockholders vote in favor of the approval of this Agreement, the Merger and the other Purchaser Stockholder Approval Matters in accordance with the DGCL or the Companies Act, as applicable, and the Purchaser’s and Merger Sub’s Organizational Documents (the “</w:t>
      </w:r>
      <w:r>
        <w:rPr>
          <w:rFonts w:ascii="Times New Roman" w:cs="Times New Roman" w:eastAsia="Times New Roman" w:hAnsi="Times New Roman"/>
          <w:sz w:val="18"/>
          <w:szCs w:val="18"/>
          <w:b w:val="1"/>
          <w:bCs w:val="1"/>
          <w:i w:val="1"/>
          <w:iCs w:val="1"/>
          <w:color w:val="auto"/>
        </w:rPr>
        <w:t>Purchaser Recommendation</w:t>
      </w:r>
      <w:r>
        <w:rPr>
          <w:rFonts w:ascii="Times New Roman" w:cs="Times New Roman" w:eastAsia="Times New Roman" w:hAnsi="Times New Roman"/>
          <w:sz w:val="18"/>
          <w:szCs w:val="18"/>
          <w:color w:val="auto"/>
        </w:rPr>
        <w:t>”) and (iv) directed that this Agreement and the other Purchaser Stockholder Approval Matters be submitted to the Purchaser’s stockholders for their approval and adoption. This Agreement has been, and each Ancillary Document to which each of the Purchaser and Merger Sub is a party shall be when delivered, duly and validly executed and delivered by the Purchaser and Merger Sub and, assuming the due authorization, execution and delivery of this Agreement and such Ancillary Documents by the other parties hereto and thereto, constitutes, or when delivered shall constitute, the valid and binding obligation of the Purchaser and Merger Sub, enforceable against the Purchaser and Merger Sub in accordance with its terms, except to the extent that enforceability thereof may be limited by applicable bankruptcy, insolvency, reorganization and moratorium laws and other laws of general application affecting the enforcement of creditors’ rights generally or by any applicable statute of limitation or by any valid defense of set-off or counterclaim, and the fact that equitable remedies or relief (including the remedy of specific performance) are subject to the discretion of the court from which such relief may be sought (collectively, the “</w:t>
      </w:r>
      <w:r>
        <w:rPr>
          <w:rFonts w:ascii="Times New Roman" w:cs="Times New Roman" w:eastAsia="Times New Roman" w:hAnsi="Times New Roman"/>
          <w:sz w:val="18"/>
          <w:szCs w:val="18"/>
          <w:b w:val="1"/>
          <w:bCs w:val="1"/>
          <w:i w:val="1"/>
          <w:iCs w:val="1"/>
          <w:color w:val="auto"/>
        </w:rPr>
        <w:t>Enforceability Exceptions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xml:space="preserve">. Except as otherwise described in </w:t>
      </w:r>
      <w:r>
        <w:rPr>
          <w:rFonts w:ascii="Times New Roman" w:cs="Times New Roman" w:eastAsia="Times New Roman" w:hAnsi="Times New Roman"/>
          <w:sz w:val="18"/>
          <w:szCs w:val="18"/>
          <w:u w:val="single" w:color="auto"/>
          <w:color w:val="auto"/>
        </w:rPr>
        <w:t>Schedule 3.3</w:t>
      </w:r>
      <w:r>
        <w:rPr>
          <w:rFonts w:ascii="Times New Roman" w:cs="Times New Roman" w:eastAsia="Times New Roman" w:hAnsi="Times New Roman"/>
          <w:sz w:val="18"/>
          <w:szCs w:val="18"/>
          <w:color w:val="auto"/>
        </w:rPr>
        <w:t>, no Consent of or with any Governmental Authority, on the part of the Purchaser is required to be obtained or made in connection with the execution, delivery or performance by the Purchaser of this Agreement and each Ancillary Document to which it is a party or the consummation by the Purchaser of the transactions contemplated hereby and thereby, other than (a) pursuant to Antitrust Laws, (b) such filings as contemplated by this Agreement, (c) any filings required with Nasdaq or the SEC with respect to the transactions contemplated by this Agreement, (d) applicable requirements, if any, of the Securities Act, the Exchange Act, and/or any state “blue sky” securities Laws, and the rules and regulations thereunder, and (e) where the failure to obtain or make such Consents or to make such filings or notifications, would not reasonably be expected to have a Material Adverse Effect on the Purchaser.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23" w:name="page224"/>
    <w:bookmarkEnd w:id="223"/>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Except as otherwise described in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the execution and delivery by the Purchaser and Merger Sub of this Agreement and each Ancillary Document to which each is a party, the consummation by the Purchaser and Merger Sub of the transactions contemplated hereby and thereby, and compliance by the Purchaser and Merger Sub with any of the provisions hereof and thereof, will not (a) conflict with or violate any provision of the Purchaser’s and Merger Sub’s Organizational Documents, (b) subject to obtaining the Consents from Governmental Authorities referred to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and the waiting periods referred to therein having expired, and any condition precedent to such Consent or waiver having been satisfied, conflict with or violate any Law, Order or Consent applicable to the Purchaser, Merger Sub or any of their respective properties or assets, or (c) (i) violate, conflict with or result in a breach of, (ii) constitute a default (or an event which, with notice or lapse of time or both, would constitute a default) under, (iii) result in the termination, withdrawal, suspension, cancellation or modification of, (iv) accelerate the performance required by the Purchaser or Merger Sub under, (v) result in a right of termination or acceleration under, (vi) give rise to any obligation to make payments or provide compensation under, (vii) result in the creation of any Lien upon any of the properties or assets of the Purchaser or Merger Sub under, (viii) give rise to any obligation to obtain any third party Consent or provide any notice to any Person or (ix) give any Person the right to declare a default, exercise any remedy, claim a rebate, chargeback, penalty or change in delivery schedule, accelerate the maturity or performance, cancel, terminate or modify any right, benefit, obligation or other term under, any of the terms, conditions or provisions of, any Purchaser Material Contract, except for any deviations from any of the foregoing clauses (a), (b) or (c) that would not reasonably be expected to have a Material Adverse Effect on the Purchaser.</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firstLine="1304"/>
        <w:spacing w:after="0" w:line="253" w:lineRule="auto"/>
        <w:tabs>
          <w:tab w:leader="none" w:pos="153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shares of the Purchaser consist of an unlimited amount of each of (i) ordinary shares of no par value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(ii) Class A preferred shares of no par value (the “</w:t>
      </w:r>
      <w:r>
        <w:rPr>
          <w:rFonts w:ascii="Times New Roman" w:cs="Times New Roman" w:eastAsia="Times New Roman" w:hAnsi="Times New Roman"/>
          <w:sz w:val="18"/>
          <w:szCs w:val="18"/>
          <w:b w:val="1"/>
          <w:bCs w:val="1"/>
          <w:i w:val="1"/>
          <w:iCs w:val="1"/>
          <w:color w:val="auto"/>
        </w:rPr>
        <w:t>Purchaser Class A Preferred Shares</w:t>
      </w:r>
      <w:r>
        <w:rPr>
          <w:rFonts w:ascii="Times New Roman" w:cs="Times New Roman" w:eastAsia="Times New Roman" w:hAnsi="Times New Roman"/>
          <w:sz w:val="18"/>
          <w:szCs w:val="18"/>
          <w:color w:val="auto"/>
        </w:rPr>
        <w:t>”), (iii) Class B preferred shares of no par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Purchaser Class B Preferred Shares</w:t>
      </w:r>
      <w:r>
        <w:rPr>
          <w:rFonts w:ascii="Times New Roman" w:cs="Times New Roman" w:eastAsia="Times New Roman" w:hAnsi="Times New Roman"/>
          <w:sz w:val="18"/>
          <w:szCs w:val="18"/>
          <w:color w:val="auto"/>
        </w:rPr>
        <w:t>”), (iv) Class C preferred shares of no par value (the “</w:t>
      </w:r>
      <w:r>
        <w:rPr>
          <w:rFonts w:ascii="Times New Roman" w:cs="Times New Roman" w:eastAsia="Times New Roman" w:hAnsi="Times New Roman"/>
          <w:sz w:val="18"/>
          <w:szCs w:val="18"/>
          <w:b w:val="1"/>
          <w:bCs w:val="1"/>
          <w:i w:val="1"/>
          <w:iCs w:val="1"/>
          <w:color w:val="auto"/>
        </w:rPr>
        <w:t>Purchaser Class C Preferred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(v) Class D preferred shares of no par value (the “</w:t>
      </w:r>
      <w:r>
        <w:rPr>
          <w:rFonts w:ascii="Times New Roman" w:cs="Times New Roman" w:eastAsia="Times New Roman" w:hAnsi="Times New Roman"/>
          <w:sz w:val="18"/>
          <w:szCs w:val="18"/>
          <w:b w:val="1"/>
          <w:bCs w:val="1"/>
          <w:i w:val="1"/>
          <w:iCs w:val="1"/>
          <w:color w:val="auto"/>
        </w:rPr>
        <w:t>Purchaser Class D Preferred Shares</w:t>
      </w:r>
      <w:r>
        <w:rPr>
          <w:rFonts w:ascii="Times New Roman" w:cs="Times New Roman" w:eastAsia="Times New Roman" w:hAnsi="Times New Roman"/>
          <w:sz w:val="18"/>
          <w:szCs w:val="18"/>
          <w:color w:val="auto"/>
        </w:rPr>
        <w:t>”), and Class E preferred shares of no par value (the “</w:t>
      </w:r>
      <w:r>
        <w:rPr>
          <w:rFonts w:ascii="Times New Roman" w:cs="Times New Roman" w:eastAsia="Times New Roman" w:hAnsi="Times New Roman"/>
          <w:sz w:val="18"/>
          <w:szCs w:val="18"/>
          <w:b w:val="1"/>
          <w:bCs w:val="1"/>
          <w:i w:val="1"/>
          <w:iCs w:val="1"/>
          <w:color w:val="auto"/>
        </w:rPr>
        <w:t>Purchaser Class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Preferred Shares</w:t>
      </w:r>
      <w:r>
        <w:rPr>
          <w:rFonts w:ascii="Times New Roman" w:cs="Times New Roman" w:eastAsia="Times New Roman" w:hAnsi="Times New Roman"/>
          <w:sz w:val="18"/>
          <w:szCs w:val="18"/>
          <w:color w:val="auto"/>
        </w:rPr>
        <w:t>” and together with the Class A Preferred Shares, the Class B Preferred Shares, the Class C Preferred Shares and the Class D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being referred to as the “</w:t>
      </w:r>
      <w:r>
        <w:rPr>
          <w:rFonts w:ascii="Times New Roman" w:cs="Times New Roman" w:eastAsia="Times New Roman" w:hAnsi="Times New Roman"/>
          <w:sz w:val="18"/>
          <w:szCs w:val="18"/>
          <w:b w:val="1"/>
          <w:bCs w:val="1"/>
          <w:i w:val="1"/>
          <w:iCs w:val="1"/>
          <w:color w:val="auto"/>
        </w:rPr>
        <w:t>Purchaser Preferred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effectiveness of the Final Purchaser Certificate of Incorporation, the authorized capital stock of the Purchaser shall be as set forth therein. The issued and outstanding Purchaser Securities as of the date of this Agreement are set forth on </w:t>
      </w:r>
      <w:r>
        <w:rPr>
          <w:rFonts w:ascii="Times New Roman" w:cs="Times New Roman" w:eastAsia="Times New Roman" w:hAnsi="Times New Roman"/>
          <w:sz w:val="18"/>
          <w:szCs w:val="18"/>
          <w:u w:val="single" w:color="auto"/>
          <w:color w:val="auto"/>
        </w:rPr>
        <w:t>Schedule 3.5(a)</w:t>
      </w:r>
      <w:r>
        <w:rPr>
          <w:rFonts w:ascii="Times New Roman" w:cs="Times New Roman" w:eastAsia="Times New Roman" w:hAnsi="Times New Roman"/>
          <w:sz w:val="18"/>
          <w:szCs w:val="18"/>
          <w:color w:val="auto"/>
        </w:rPr>
        <w:t>. All outstanding Purchaser Ordinary Shares are, and all Purchaser Common Stock when issued (and subject to the effectiveness of the Final Purchaser Certificate of Incorporation) will be, duly authorized, validly issued, fully paid and non-assessable and not subject to or issued in violation of any purchase option, right of first refusal, preemptive right, subscription right or any similar right under any provision of the DGCL or the Companies Act (as applicable), the Purchaser’s Organizational Documents or any Contract to which Purchaser is a party. All of the outstanding Purchaser Securities have been granted, offered, sold and issued in compliance with all applicable securities Laws.</w:t>
      </w:r>
    </w:p>
    <w:p>
      <w:pPr>
        <w:spacing w:after="0" w:line="126" w:lineRule="exact"/>
        <w:rPr>
          <w:rFonts w:ascii="Times New Roman" w:cs="Times New Roman" w:eastAsia="Times New Roman" w:hAnsi="Times New Roman"/>
          <w:sz w:val="18"/>
          <w:szCs w:val="18"/>
          <w:color w:val="auto"/>
        </w:rPr>
      </w:pPr>
    </w:p>
    <w:p>
      <w:pPr>
        <w:ind w:right="180" w:firstLine="1304"/>
        <w:spacing w:after="0" w:line="266" w:lineRule="auto"/>
        <w:tabs>
          <w:tab w:leader="none" w:pos="15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giving effect to the merger, Merger Sub is authorized to issue 1,000 shares of Merger Sub Common Stock, of which 1,000 shares are issued and outstanding, and all of which are owned by the Purchaser. Prior to giving effect to the transactions contemplated by this Agreement, other than Merger Sub, the Purchaser does not have any Subsidiaries or own any equity interests in any other Person.</w:t>
      </w:r>
    </w:p>
    <w:p>
      <w:pPr>
        <w:spacing w:after="0" w:line="94" w:lineRule="exact"/>
        <w:rPr>
          <w:rFonts w:ascii="Times New Roman" w:cs="Times New Roman" w:eastAsia="Times New Roman" w:hAnsi="Times New Roman"/>
          <w:sz w:val="18"/>
          <w:szCs w:val="18"/>
          <w:color w:val="auto"/>
        </w:rPr>
      </w:pPr>
    </w:p>
    <w:p>
      <w:pPr>
        <w:ind w:right="60" w:firstLine="1304"/>
        <w:spacing w:after="0" w:line="252" w:lineRule="auto"/>
        <w:tabs>
          <w:tab w:leader="none" w:pos="154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3.5(a)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3.5(c)</w:t>
      </w:r>
      <w:r>
        <w:rPr>
          <w:rFonts w:ascii="Times New Roman" w:cs="Times New Roman" w:eastAsia="Times New Roman" w:hAnsi="Times New Roman"/>
          <w:sz w:val="18"/>
          <w:szCs w:val="18"/>
          <w:color w:val="auto"/>
        </w:rPr>
        <w:t>, there are no (i) outstanding options, warrants, puts, calls, convertible securities, preemptive, first refusal, first offer or similar rights, (ii) bonds, debentures, notes or other Indebtedness having general voting rights or that are convertible or exchangeable into securities having such rights or (iii) subscriptions or other rights, agreements, arrangements, Contracts or commitments of any character (other than this Agreement and the Ancillary Documents), (A) relating to the issued or unissued shares of the Purchaser or (B) obligating Purchaser to issue, transfer, deliver or sell or cause to be issued, transferred, delivered, sold or repurchased any options or shares or securities convertible into or exchangeable for such shares, or (C) obligating Purchaser to grant, extend or enter into any such option, warrant, call, subscription or other right, agreement, arrangement or commitment for such capital shares. Other than any Redemption of Public Stockholders conducted in connection with an Extension (an “</w:t>
      </w:r>
      <w:r>
        <w:rPr>
          <w:rFonts w:ascii="Times New Roman" w:cs="Times New Roman" w:eastAsia="Times New Roman" w:hAnsi="Times New Roman"/>
          <w:sz w:val="18"/>
          <w:szCs w:val="18"/>
          <w:b w:val="1"/>
          <w:bCs w:val="1"/>
          <w:i w:val="1"/>
          <w:iCs w:val="1"/>
          <w:color w:val="auto"/>
        </w:rPr>
        <w:t>Extension Redemption</w:t>
      </w:r>
      <w:r>
        <w:rPr>
          <w:rFonts w:ascii="Times New Roman" w:cs="Times New Roman" w:eastAsia="Times New Roman" w:hAnsi="Times New Roman"/>
          <w:sz w:val="18"/>
          <w:szCs w:val="18"/>
          <w:color w:val="auto"/>
        </w:rPr>
        <w:t>”) or the Closing Redemption (any of an Extension Redemption or a Closing Redemption, a “</w:t>
      </w: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or as expressly set forth in this Agreement, there are no outstanding obligations of the Purchaser to repurchase, redeem or otherwise acquire any shares of the Purchaser or to provide funds to make any investment (in the form of a loan, capital contribution or otherwise) in any Person. Except as set forth</w:t>
      </w:r>
    </w:p>
    <w:p>
      <w:pPr>
        <w:spacing w:after="0" w:line="5"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Schedule 3.5(c)</w:t>
      </w:r>
      <w:r>
        <w:rPr>
          <w:rFonts w:ascii="Times New Roman" w:cs="Times New Roman" w:eastAsia="Times New Roman" w:hAnsi="Times New Roman"/>
          <w:sz w:val="18"/>
          <w:szCs w:val="18"/>
          <w:color w:val="auto"/>
        </w:rPr>
        <w:t>, there are no stockholders agreements, proxies, voting trusts or other agreements or understandings to which the Purchaser is a party (or, to the Purchaser’s Knowledge, to which it is not a party) with respect to the voting of any shares of the Purchaser.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24" w:name="page225"/>
    <w:bookmarkEnd w:id="224"/>
    <w:p>
      <w:pPr>
        <w:jc w:val="both"/>
        <w:ind w:left="-8" w:right="120" w:firstLine="1304"/>
        <w:spacing w:after="0" w:line="266" w:lineRule="auto"/>
        <w:tabs>
          <w:tab w:leader="none" w:pos="153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Indebtedness of the Purchaser as of the date of this Agreement is disclosed on </w:t>
      </w:r>
      <w:r>
        <w:rPr>
          <w:rFonts w:ascii="Times New Roman" w:cs="Times New Roman" w:eastAsia="Times New Roman" w:hAnsi="Times New Roman"/>
          <w:sz w:val="18"/>
          <w:szCs w:val="18"/>
          <w:u w:val="single" w:color="auto"/>
          <w:color w:val="auto"/>
        </w:rPr>
        <w:t>Schedule 3.5(d)</w:t>
      </w:r>
      <w:r>
        <w:rPr>
          <w:rFonts w:ascii="Times New Roman" w:cs="Times New Roman" w:eastAsia="Times New Roman" w:hAnsi="Times New Roman"/>
          <w:sz w:val="18"/>
          <w:szCs w:val="18"/>
          <w:color w:val="auto"/>
        </w:rPr>
        <w:t>. No Indebtedness of the Purchaser contains any restriction upon (i) the prepayment of any of such Indebtedness, (ii) the incurrence of Indebtedness by the Purchaser or (iii) the ability of the Purchaser to grant any Lien on its properties or assets.</w:t>
      </w:r>
    </w:p>
    <w:p>
      <w:pPr>
        <w:spacing w:after="0" w:line="94" w:lineRule="exact"/>
        <w:rPr>
          <w:rFonts w:ascii="Times New Roman" w:cs="Times New Roman" w:eastAsia="Times New Roman" w:hAnsi="Times New Roman"/>
          <w:sz w:val="18"/>
          <w:szCs w:val="18"/>
          <w:color w:val="auto"/>
        </w:rPr>
      </w:pPr>
    </w:p>
    <w:p>
      <w:pPr>
        <w:ind w:left="-8" w:right="60" w:firstLine="1304"/>
        <w:spacing w:after="0" w:line="266" w:lineRule="auto"/>
        <w:tabs>
          <w:tab w:leader="none" w:pos="153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formation of the Purchaser, and except as contemplated by this Agreement, the Purchaser has not declared or paid any distribution or dividend in respect of its shares and has not repurchased, redeemed or otherwise acquired any of its shares, and the Purchaser’s board of directors has not authorized any of the foregoing.</w:t>
      </w:r>
    </w:p>
    <w:p>
      <w:pPr>
        <w:spacing w:after="0" w:line="104"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SEC Filings and Purchaser Financials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8" w:firstLine="1304"/>
        <w:spacing w:after="0" w:line="266" w:lineRule="auto"/>
        <w:tabs>
          <w:tab w:leader="none" w:pos="1529"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since the Purchaser IPO, has filed all forms, reports, schedules, statements, registration statements, prospectuses and other documents required to be filed or furnished by the Purchaser with the SEC under the Securities Act and/or the Exchange Act, together with any amendments, restatements or supplements thereto, and will file all such forms, reports, schedules, statements and other documents required to be filed subsequent to the date of this Agreement. Except to the extent available on the SEC’s web site through EDGAR, the Purchaser has delivered to the Company copies in the form filed with the SEC of all of the following: (i) the Purchaser’s annual reports on Form 10-K for each fiscal year of the Purchaser beginning with the first year the Purchaser was required to file such a form, (ii) the Purchaser’s quarterly reports on Form 10-Q for each fiscal quarter that the Purchaser filed such reports to disclose its quarterly financial results in each of the fiscal years of the Purchaser referred to in clause (i) above, (iii) all other forms, reports, registration statements, prospectuses and other documents (other than preliminary materials) filed by the Purchaser with the SEC since the beginning of the first fiscal year referred to in clause (i) above (the forms, reports, registration statements, prospectuses and other documents referred to in clauses (i), (ii) and (iii) above, whether or not available through EDGAR, are, collectively, the “</w:t>
      </w:r>
      <w:r>
        <w:rPr>
          <w:rFonts w:ascii="Times New Roman" w:cs="Times New Roman" w:eastAsia="Times New Roman" w:hAnsi="Times New Roman"/>
          <w:sz w:val="17"/>
          <w:szCs w:val="17"/>
          <w:b w:val="1"/>
          <w:bCs w:val="1"/>
          <w:i w:val="1"/>
          <w:iCs w:val="1"/>
          <w:color w:val="auto"/>
        </w:rPr>
        <w:t>Purchaser SEC Reports</w:t>
      </w:r>
      <w:r>
        <w:rPr>
          <w:rFonts w:ascii="Times New Roman" w:cs="Times New Roman" w:eastAsia="Times New Roman" w:hAnsi="Times New Roman"/>
          <w:sz w:val="17"/>
          <w:szCs w:val="17"/>
          <w:color w:val="auto"/>
        </w:rPr>
        <w:t>”) and (iv) all certifications and statements required by (A) Rules 13a-14 or 15d-14 under the Exchange Act, and (B) 18 U.S.C. §1350 (Section 906 of SOX) with respect to any report referred to in clause (i) above (collectively, the “</w:t>
      </w:r>
      <w:r>
        <w:rPr>
          <w:rFonts w:ascii="Times New Roman" w:cs="Times New Roman" w:eastAsia="Times New Roman" w:hAnsi="Times New Roman"/>
          <w:sz w:val="17"/>
          <w:szCs w:val="17"/>
          <w:b w:val="1"/>
          <w:bCs w:val="1"/>
          <w:i w:val="1"/>
          <w:iCs w:val="1"/>
          <w:color w:val="auto"/>
        </w:rPr>
        <w:t>Purchaser Public Certifications</w:t>
      </w:r>
      <w:r>
        <w:rPr>
          <w:rFonts w:ascii="Times New Roman" w:cs="Times New Roman" w:eastAsia="Times New Roman" w:hAnsi="Times New Roman"/>
          <w:sz w:val="17"/>
          <w:szCs w:val="17"/>
          <w:color w:val="auto"/>
        </w:rPr>
        <w:t>”). Except for any changes (including any required revisions to or restatements of the Purchaser Financials (defined below) or the Purchaser SEC Reports) to (A) the Purchaser’s historical accounting of the Purchaser Warrants as equity rather than as liabilities that may be required as a result of the Staff Statement on Accounting and Reporting Considerations for Warrants Issued by Special Purpose Acquisition Companies (“SPACs”) that was issued by the SEC on April 12, 2021, and related guidance by the SEC,</w:t>
      </w:r>
    </w:p>
    <w:p>
      <w:pPr>
        <w:spacing w:after="0" w:line="8" w:lineRule="exact"/>
        <w:rPr>
          <w:rFonts w:ascii="Times New Roman" w:cs="Times New Roman" w:eastAsia="Times New Roman" w:hAnsi="Times New Roman"/>
          <w:sz w:val="17"/>
          <w:szCs w:val="17"/>
          <w:color w:val="auto"/>
        </w:rPr>
      </w:pPr>
    </w:p>
    <w:p>
      <w:pPr>
        <w:ind w:left="-8" w:right="20" w:firstLine="8"/>
        <w:spacing w:after="0" w:line="251" w:lineRule="auto"/>
        <w:tabs>
          <w:tab w:leader="none" w:pos="27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accounting or classification of the Purchaser’s outstanding redeemable shares as temporary, as opposed to permanent, equity that may be required as a result of related statements by the SEC staff or recommendations or requirements of the Purchaser’s auditors, or (C) the Purchaser’s historical or future accounting relating to any other guidance from the SEC staff after the date hereof relating to non-cash accounting matters (clauses (A) through (C), collectively, “</w:t>
      </w:r>
      <w:r>
        <w:rPr>
          <w:rFonts w:ascii="Times New Roman" w:cs="Times New Roman" w:eastAsia="Times New Roman" w:hAnsi="Times New Roman"/>
          <w:sz w:val="18"/>
          <w:szCs w:val="18"/>
          <w:b w:val="1"/>
          <w:bCs w:val="1"/>
          <w:i w:val="1"/>
          <w:iCs w:val="1"/>
          <w:color w:val="auto"/>
        </w:rPr>
        <w:t>SEC SPAC Accounting Changes</w:t>
      </w:r>
      <w:r>
        <w:rPr>
          <w:rFonts w:ascii="Times New Roman" w:cs="Times New Roman" w:eastAsia="Times New Roman" w:hAnsi="Times New Roman"/>
          <w:sz w:val="18"/>
          <w:szCs w:val="18"/>
          <w:color w:val="auto"/>
        </w:rPr>
        <w:t xml:space="preserve">”), the Purchaser SEC Reports (x) were prepared in all material respects in accordance with the requirements of the Securities Act and the Exchange Act, as the case may be, and the rules and regulations thereunder and (y) did not, as of their respective effective dates (in the case of Purchaser SEC Reports that are registration statements filed pursuant to the requirements of the Securities Act) and at the time they were filed with the SEC (in the case of all other Purchaser SEC Reports) contain any untrue statement of a material fact or omit to state a material fact required to be stated therein or necessary in order to make the statements made therein, in the light of the circumstances under which they were made, not misleading, and the Purchaser Public Certifications are each true as of their respective dates of filing. As of the date of this Agreement, there are no outstanding or unresolved comments in comment letters received from the SEC with respect to any Purchaser SEC Reports. None of the Purchaser SEC Reports filed on or prior to the date of this Agreement is subject to ongoing SEC review or investigations as of the date of this Agreement. The Parties acknowledge and agree that any restatement, revision or other modification of the Purchaser Financials or the Purchaser SEC Reports as a result of any SEC SPAC Accounting Changes shall be deemed not material for purposes of this Agreement. As used in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the term “file” shall be broadly construed to include any manner permitted by SEC rules and regulations in which a document or information is furnished, supplied or otherwise made available to the SEC. As of the date of this Agreement, (A) the Purchaser Public Units, the Purchaser Ordinary Shares and the Purchaser Public Warrants are listed on Nasdaq, (B) the Purchaser has not received any written deficiency notice from Nasdaq relating to the continued listing requirements of such Purchaser Securities, (C) there are no Actions pending or threatened in writing against the Purchaser by the Financial Industry Regulatory Authority with respect to any intention by such entity to suspend, prohibit or terminate the quoting of such Purchaser Securities on Nasdaq and (D) such Purchaser Securities are in compliance with all of the applicable corporate governance rules of Nasdaq.</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21" w:right="339" w:bottom="1440" w:gutter="0" w:footer="0" w:header="0"/>
        </w:sectPr>
      </w:pPr>
    </w:p>
    <w:bookmarkStart w:id="225" w:name="page226"/>
    <w:bookmarkEnd w:id="225"/>
    <w:p>
      <w:pPr>
        <w:ind w:right="120" w:firstLine="1304"/>
        <w:spacing w:after="0" w:line="254" w:lineRule="auto"/>
        <w:tabs>
          <w:tab w:leader="none" w:pos="155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SEC SPAC Accounting Changes, the financial statements and notes of the Purchaser contained or incorporated by reference in the Purchaser SEC Reports (the “</w:t>
      </w:r>
      <w:r>
        <w:rPr>
          <w:rFonts w:ascii="Times New Roman" w:cs="Times New Roman" w:eastAsia="Times New Roman" w:hAnsi="Times New Roman"/>
          <w:sz w:val="18"/>
          <w:szCs w:val="18"/>
          <w:b w:val="1"/>
          <w:bCs w:val="1"/>
          <w:i w:val="1"/>
          <w:iCs w:val="1"/>
          <w:color w:val="auto"/>
        </w:rPr>
        <w:t>Purchaser Financials</w:t>
      </w:r>
      <w:r>
        <w:rPr>
          <w:rFonts w:ascii="Times New Roman" w:cs="Times New Roman" w:eastAsia="Times New Roman" w:hAnsi="Times New Roman"/>
          <w:sz w:val="18"/>
          <w:szCs w:val="18"/>
          <w:color w:val="auto"/>
        </w:rPr>
        <w:t>”), fairly present in all material respects the financial position and the results of operations, changes in stockholders’ equity, and cash flows of the Purchaser at the respective dates of and for the periods referred to in such financial statements, all in accordance with (i) GAAP methodologies applied on a consistent basis throughout the periods involved; (ii) contain and reflect all necessary adjustments and accruals for a fair representations of the Purchaser’s financial condition as of their dates; (iii) contain and reflect adequate provisions for all material Liabilities for all material Taxes applicable to the Purchaser with respect to the periods then ended; and (iv) Regulation S-X or Regulation S-K, as applicable (except as may be indicated in the notes thereto and for the omission of notes and audit adjustments in the case of unaudited quarterly financial statements to the extent permitted by Regulation S-X or Regulation S-K, as applicable, which are not expected to be material in amount).</w:t>
      </w:r>
    </w:p>
    <w:p>
      <w:pPr>
        <w:spacing w:after="0" w:line="107" w:lineRule="exact"/>
        <w:rPr>
          <w:rFonts w:ascii="Times New Roman" w:cs="Times New Roman" w:eastAsia="Times New Roman" w:hAnsi="Times New Roman"/>
          <w:sz w:val="18"/>
          <w:szCs w:val="18"/>
          <w:color w:val="auto"/>
        </w:rPr>
      </w:pPr>
    </w:p>
    <w:p>
      <w:pPr>
        <w:ind w:right="100" w:firstLine="1304"/>
        <w:spacing w:after="0" w:line="281" w:lineRule="auto"/>
        <w:tabs>
          <w:tab w:leader="none" w:pos="1541"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any SEC SPAC Accounting Changes or as and to the extent reflected or reserved against in the Purchaser Financials, the Purchaser is not subject to any Liabilities required to be reflected on a balance sheet prepared in accordance with GAAP, except for those that are either (i) adequately reflected or reserved on or provided for in the Purchaser Financials or (ii) not material and that were incurred since the most recent Purchaser Financials in the ordinary course of business consistent with past practice (other than Liabilities for breach of any Contract or violation of any law).</w:t>
      </w:r>
    </w:p>
    <w:p>
      <w:pPr>
        <w:spacing w:after="0" w:line="97"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As of the date of this Agreement, except as set forth on </w:t>
      </w:r>
      <w:r>
        <w:rPr>
          <w:rFonts w:ascii="Times New Roman" w:cs="Times New Roman" w:eastAsia="Times New Roman" w:hAnsi="Times New Roman"/>
          <w:sz w:val="18"/>
          <w:szCs w:val="18"/>
          <w:u w:val="single" w:color="auto"/>
          <w:color w:val="auto"/>
        </w:rPr>
        <w:t>Schedule 3.7</w:t>
      </w:r>
      <w:r>
        <w:rPr>
          <w:rFonts w:ascii="Times New Roman" w:cs="Times New Roman" w:eastAsia="Times New Roman" w:hAnsi="Times New Roman"/>
          <w:sz w:val="18"/>
          <w:szCs w:val="18"/>
          <w:color w:val="auto"/>
        </w:rPr>
        <w:t>, the Purchaser has (a) since its formation conducted no business other than its formation, the public offering of its securities (and the related private offerings), public reporting and its search for an initial business combination (as such term is used in the Purchaser IPO Prospectus)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xml:space="preserve">”) as described in the Purchaser IPO Prospectus (including the investigation of the Target Companies and the negotiation and execution of this Agreement) and related activities, (b) not been subject to any event or occurrence that has had or would reasonably be expected to have, individually or in the aggregate, a Material Adverse Effect on the Purchaser, and (c) since December 31, 2020 has not taken any action or committed or agreed to take any action that would be prohibited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5.3(b)</w:t>
      </w:r>
      <w:r>
        <w:rPr>
          <w:rFonts w:ascii="Times New Roman" w:cs="Times New Roman" w:eastAsia="Times New Roman" w:hAnsi="Times New Roman"/>
          <w:sz w:val="18"/>
          <w:szCs w:val="18"/>
          <w:color w:val="auto"/>
        </w:rPr>
        <w:t xml:space="preserve"> (without giving effect to </w:t>
      </w:r>
      <w:r>
        <w:rPr>
          <w:rFonts w:ascii="Times New Roman" w:cs="Times New Roman" w:eastAsia="Times New Roman" w:hAnsi="Times New Roman"/>
          <w:sz w:val="18"/>
          <w:szCs w:val="18"/>
          <w:u w:val="single" w:color="auto"/>
          <w:color w:val="auto"/>
        </w:rPr>
        <w:t>Schedule 5.3</w:t>
      </w:r>
      <w:r>
        <w:rPr>
          <w:rFonts w:ascii="Times New Roman" w:cs="Times New Roman" w:eastAsia="Times New Roman" w:hAnsi="Times New Roman"/>
          <w:sz w:val="18"/>
          <w:szCs w:val="18"/>
          <w:color w:val="auto"/>
        </w:rPr>
        <w:t>) if such action were taken on or after the date hereof without the consent of the Company.</w:t>
      </w:r>
    </w:p>
    <w:p>
      <w:pPr>
        <w:spacing w:after="0" w:line="121" w:lineRule="exact"/>
        <w:rPr>
          <w:sz w:val="20"/>
          <w:szCs w:val="20"/>
          <w:color w:val="auto"/>
        </w:rPr>
      </w:pPr>
    </w:p>
    <w:p>
      <w:pPr>
        <w:ind w:right="180" w:firstLine="432"/>
        <w:spacing w:after="0" w:line="281"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Purchaser is, and has since its formation been, in compliance with all Laws applicable to it and the conduct of its business in all material respects, and the Purchaser has not received written notice alleging any violation of applicable Law in any material respect by the Purchaser. The Purchaser is not under investigation with respect to any violation of, any law, or judgment, order or decree entered by any court, arbitrator or Governmental Authority, domestic or foreign, and the Purchaser has not previously received any subpoenas from any Governmental Authority.</w:t>
      </w:r>
    </w:p>
    <w:p>
      <w:pPr>
        <w:spacing w:after="0" w:line="83"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Actions; Orders; Permits</w:t>
      </w:r>
      <w:r>
        <w:rPr>
          <w:rFonts w:ascii="Times New Roman" w:cs="Times New Roman" w:eastAsia="Times New Roman" w:hAnsi="Times New Roman"/>
          <w:sz w:val="18"/>
          <w:szCs w:val="18"/>
          <w:color w:val="auto"/>
        </w:rPr>
        <w:t>. There is no pending or threatened in writing Action to which the Purchaser is subject which would reasonably be expected to have a Material Adverse Effect on the Purchaser. There is no material Action that the Purchaser has pending against any other Person. The Purchaser is not subject to any material Orders of any Governmental Authority, nor are any such Orders pending. The Purchaser holds all Permits necessary to lawfully conduct its business as presently conducted, and to own, lease and operate its assets and properties, all of which are in full force and effect, except where the failure to hold such Consent or for such Consent to be in full force and effect would not reasonably be expected to have a Material Adverse Effect on the Purchaser.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26" w:name="page227"/>
    <w:bookmarkEnd w:id="226"/>
    <w:p>
      <w:pPr>
        <w:ind w:left="44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Taxes and Returns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firstLine="1304"/>
        <w:spacing w:after="0" w:line="253" w:lineRule="auto"/>
        <w:tabs>
          <w:tab w:leader="none" w:pos="153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has timely filed, or caused to be timely filed, all material Tax Returns required to be filed by it, which such Tax Returns are accurate and complete in all material respects, and has paid, collected or withheld, or caused to be paid, collected or withheld, all material Taxes required to be paid, collected or withheld, other than such Taxes for which adequate reserves in the Purchaser Financials have been established in accordance with GAAP. </w:t>
      </w:r>
      <w:r>
        <w:rPr>
          <w:rFonts w:ascii="Times New Roman" w:cs="Times New Roman" w:eastAsia="Times New Roman" w:hAnsi="Times New Roman"/>
          <w:sz w:val="18"/>
          <w:szCs w:val="18"/>
          <w:u w:val="single" w:color="auto"/>
          <w:color w:val="auto"/>
        </w:rPr>
        <w:t>Schedule 3.10(a)</w:t>
      </w:r>
      <w:r>
        <w:rPr>
          <w:rFonts w:ascii="Times New Roman" w:cs="Times New Roman" w:eastAsia="Times New Roman" w:hAnsi="Times New Roman"/>
          <w:sz w:val="18"/>
          <w:szCs w:val="18"/>
          <w:color w:val="auto"/>
        </w:rPr>
        <w:t xml:space="preserve"> sets forth each jurisdiction where the Purchaser files or is required to file a Tax Return. There are no audits, examinations, investigations or other proceedings pending against the Purchaser in respect of any Tax, and the Purchaser has not been notified in writing of any proposed Tax claims or assessments against the Purchaser (other than, in each case, claims or assessments for which adequate reserves in the Purchaser Financials have been established in accordance with GAAP or are immaterial in amount). There are no Liens with respect to any Taxes upon any of the Purchaser’s assets, other than Permitted Liens. The Purchaser has no outstanding waivers or extensions of any applicable statute of limitations to assess any material amount of Taxes. There are no outstanding requests by the Purchaser for any extension of time within which to file any Tax Return or within which to pay any Taxes shown to be due on any Tax Return.</w:t>
      </w:r>
    </w:p>
    <w:p>
      <w:pPr>
        <w:spacing w:after="0" w:line="126" w:lineRule="exact"/>
        <w:rPr>
          <w:rFonts w:ascii="Times New Roman" w:cs="Times New Roman" w:eastAsia="Times New Roman" w:hAnsi="Times New Roman"/>
          <w:sz w:val="18"/>
          <w:szCs w:val="18"/>
          <w:color w:val="auto"/>
        </w:rPr>
      </w:pPr>
    </w:p>
    <w:p>
      <w:pPr>
        <w:ind w:right="400" w:firstLine="1304"/>
        <w:spacing w:after="0" w:line="266" w:lineRule="auto"/>
        <w:tabs>
          <w:tab w:leader="none" w:pos="15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its formation, the Purchaser has not (i) changed any Tax accounting methods, policies or procedures except as required by a change in Law, (ii) made, revoked, or amended any material Tax election, (iii) filed any amended Tax Returns or claim for refund or (iv) entered into any closing agreement affecting or otherwise settled or compromised any material Tax Liability or refund.</w:t>
      </w:r>
    </w:p>
    <w:p>
      <w:pPr>
        <w:spacing w:after="0" w:line="108" w:lineRule="exact"/>
        <w:rPr>
          <w:sz w:val="20"/>
          <w:szCs w:val="20"/>
          <w:color w:val="auto"/>
        </w:rPr>
      </w:pPr>
    </w:p>
    <w:p>
      <w:pPr>
        <w:ind w:right="700" w:firstLine="432"/>
        <w:spacing w:after="0" w:line="28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Employees and Employee Benefit Plans</w:t>
      </w:r>
      <w:r>
        <w:rPr>
          <w:rFonts w:ascii="Times New Roman" w:cs="Times New Roman" w:eastAsia="Times New Roman" w:hAnsi="Times New Roman"/>
          <w:sz w:val="18"/>
          <w:szCs w:val="18"/>
          <w:color w:val="auto"/>
        </w:rPr>
        <w:t>. The Purchaser does not (a) have any paid employees or (b) maintain, sponsor, contribute to or otherwise have any Liability under, any Benefit Plans.</w:t>
      </w:r>
    </w:p>
    <w:p>
      <w:pPr>
        <w:spacing w:after="0" w:line="81"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The Purchaser does not own, license or otherwise have any right, title or interest in any material Intellectual Property. The Purchaser does not own or lease any real property or Personal Property.</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20" w:firstLine="1304"/>
        <w:spacing w:after="0" w:line="257" w:lineRule="auto"/>
        <w:tabs>
          <w:tab w:leader="none" w:pos="154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3.13(a)</w:t>
      </w:r>
      <w:r>
        <w:rPr>
          <w:rFonts w:ascii="Times New Roman" w:cs="Times New Roman" w:eastAsia="Times New Roman" w:hAnsi="Times New Roman"/>
          <w:sz w:val="18"/>
          <w:szCs w:val="18"/>
          <w:color w:val="auto"/>
        </w:rPr>
        <w:t>, other than this Agreement and the Ancillary Documents, there are no Contracts to which the Purchaser is a party or by which any of its properties or assets may be bound, subject or affected, which (i) creates or imposes a Liability greater than $200,000, (ii) may not be canceled by the Purchaser on less than sixty (60) days’ prior notice without payment of a material penalty or termination fee or</w:t>
      </w:r>
    </w:p>
    <w:p>
      <w:pPr>
        <w:spacing w:after="0" w:line="1" w:lineRule="exact"/>
        <w:rPr>
          <w:rFonts w:ascii="Times New Roman" w:cs="Times New Roman" w:eastAsia="Times New Roman" w:hAnsi="Times New Roman"/>
          <w:sz w:val="18"/>
          <w:szCs w:val="18"/>
          <w:color w:val="auto"/>
        </w:rPr>
      </w:pPr>
    </w:p>
    <w:p>
      <w:pPr>
        <w:ind w:right="60" w:firstLine="8"/>
        <w:spacing w:after="0" w:line="253" w:lineRule="auto"/>
        <w:tabs>
          <w:tab w:leader="none" w:pos="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prohibits, prevents, restricts or impairs in any material respect any business practice of the Purchaser as its business is currently conducted, any acquisition of material property by the Purchaser, or restricts in any material respect the ability of the Purchaser to engage in business as currently conducted by it or compete with any other Person (each, a “</w:t>
      </w:r>
      <w:r>
        <w:rPr>
          <w:rFonts w:ascii="Times New Roman" w:cs="Times New Roman" w:eastAsia="Times New Roman" w:hAnsi="Times New Roman"/>
          <w:sz w:val="18"/>
          <w:szCs w:val="18"/>
          <w:b w:val="1"/>
          <w:bCs w:val="1"/>
          <w:i w:val="1"/>
          <w:iCs w:val="1"/>
          <w:color w:val="auto"/>
        </w:rPr>
        <w:t>Purchaser Material Contract</w:t>
      </w:r>
      <w:r>
        <w:rPr>
          <w:rFonts w:ascii="Times New Roman" w:cs="Times New Roman" w:eastAsia="Times New Roman" w:hAnsi="Times New Roman"/>
          <w:sz w:val="18"/>
          <w:szCs w:val="18"/>
          <w:color w:val="auto"/>
        </w:rPr>
        <w:t>”). All Purchaser Material Contracts have been made available to the Company other than those that are exhibits to the Purchaser SEC Reports.</w:t>
      </w:r>
    </w:p>
    <w:p>
      <w:pPr>
        <w:spacing w:after="0" w:line="107" w:lineRule="exact"/>
        <w:rPr>
          <w:rFonts w:ascii="Times New Roman" w:cs="Times New Roman" w:eastAsia="Times New Roman" w:hAnsi="Times New Roman"/>
          <w:sz w:val="18"/>
          <w:szCs w:val="18"/>
          <w:color w:val="auto"/>
        </w:rPr>
      </w:pPr>
    </w:p>
    <w:p>
      <w:pPr>
        <w:ind w:right="40" w:firstLine="1304"/>
        <w:spacing w:after="0" w:line="254" w:lineRule="auto"/>
        <w:tabs>
          <w:tab w:leader="none" w:pos="154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Purchaser Material Contract: (i) the Purchaser Material Contract was entered into at arms’ length and in the ordinary course of business; (ii) the Purchaser Material Contract is legal, valid, binding and enforceable in all material respects against the Purchaser and, to the Knowledge of the Purchaser, the other parties thereto, and is in full force and effect (except, in each case, as such enforcement may be limited by the Enforceability Exceptions); (iii) the Purchaser is not in breach or default in any material respect, and no event has occurred that with the passage of time or giving of notice or both would constitute such a breach or default in any material respect by the Purchaser, or permit termination or acceleration by the other party, under such Purchaser Material Contract; and (iv) to the Knowledge of the Purchaser, no other party to any Purchaser Material Contract is in breach or default in any material respect, and no event has occurred that with the passage of time or giving of notice or both would constitute such a breach or default by such other party, or permit termination or acceleration by the Purchaser under any Purchaser Material Contract.</w:t>
      </w:r>
    </w:p>
    <w:p>
      <w:pPr>
        <w:spacing w:after="0" w:line="124"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3.14</w:t>
      </w:r>
      <w:r>
        <w:rPr>
          <w:rFonts w:ascii="Times New Roman" w:cs="Times New Roman" w:eastAsia="Times New Roman" w:hAnsi="Times New Roman"/>
          <w:sz w:val="18"/>
          <w:szCs w:val="18"/>
          <w:color w:val="auto"/>
        </w:rPr>
        <w:t xml:space="preserve"> sets forth a true, correct and complete list of the Contracts and arrangements that are in existence as of the date of this Agreement under which there are any existing or future Liabilities or obligations between the Purchaser and any (a) present or former director, officer or employee or Affiliate of the Purchaser, or any immediate family member of any of the foregoing, or (b) record or beneficial owner of more than five percent (5%) of the Purchaser’s outstanding share capital as of the date hereof.</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27" w:name="page228"/>
    <w:bookmarkEnd w:id="227"/>
    <w:p>
      <w:pPr>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Merger Sub Activities</w:t>
      </w:r>
      <w:r>
        <w:rPr>
          <w:rFonts w:ascii="Times New Roman" w:cs="Times New Roman" w:eastAsia="Times New Roman" w:hAnsi="Times New Roman"/>
          <w:sz w:val="18"/>
          <w:szCs w:val="18"/>
          <w:color w:val="auto"/>
        </w:rPr>
        <w:t>. Since its formation, Merger Sub has not engaged in any business activities other than as contemplated by this Agreement, does not own directly or indirectly any ownership, equity, profits or voting interest in any Person and has no assets or Liabilities except those incurred in connection with this Agreement and the Ancillary Documents to which it is a party and the Transactions, and, other than this Agreement and the Ancillary Documents to which it is a party, Merger Sub is not party to or bound by any Contract.</w:t>
      </w:r>
    </w:p>
    <w:p>
      <w:pPr>
        <w:spacing w:after="0" w:line="99"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Purchaser is not an “investment company”, a Person directly or indirectly “controlled” by or acting on behalf of an “investment company” or required to register as an “investment company”, in each case within the meaning of the Investment Company Act of 1940, as amended.</w:t>
      </w:r>
    </w:p>
    <w:p>
      <w:pPr>
        <w:spacing w:after="0" w:line="108"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Finders and Brokers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3.17</w:t>
      </w:r>
      <w:r>
        <w:rPr>
          <w:rFonts w:ascii="Times New Roman" w:cs="Times New Roman" w:eastAsia="Times New Roman" w:hAnsi="Times New Roman"/>
          <w:sz w:val="18"/>
          <w:szCs w:val="18"/>
          <w:color w:val="auto"/>
        </w:rPr>
        <w:t>, no broker, finder or investment banker is entitled to any brokerage, finder’s or other fee or commission from the Purchaser, the Target Companies or any of their respective Affiliates in connection with the transactions contemplated hereby based upon arrangements made by or on behalf of the Purchaser.</w:t>
      </w:r>
    </w:p>
    <w:p>
      <w:pPr>
        <w:spacing w:after="0" w:line="10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Ownership of Merger Consideration</w:t>
      </w:r>
      <w:r>
        <w:rPr>
          <w:rFonts w:ascii="Times New Roman" w:cs="Times New Roman" w:eastAsia="Times New Roman" w:hAnsi="Times New Roman"/>
          <w:sz w:val="18"/>
          <w:szCs w:val="18"/>
          <w:color w:val="auto"/>
        </w:rPr>
        <w:t xml:space="preserve">. All shares of Purchaser Common Stock to be issued and delivered to the Company Stockholders as Merger Consideration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shall be issued in compliance with all applicable securities Laws and, upon issuance and delivery of such Purchaser Common Stock, be fully paid and non-assessable, free and clear of all Liens, other than restrictions arising from applicable securities Laws, any applicable Lock-Up Agreement and any Liens incurred by any Company Stockholder, and the issuance and sale of such Purchaser Common Stock pursuant hereto will not be subject to or give rise to any preemptive rights or rights of first refusal or first offer.</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20" w:firstLine="1304"/>
        <w:spacing w:after="0" w:line="256" w:lineRule="auto"/>
        <w:tabs>
          <w:tab w:leader="none" w:pos="154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any of its Representatives acting on its behalf,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U.S. Foreign Corrupt Practices Act of 1977 or any other local or foreign anti-corruption or bribery Law, (iii) made any other unlawful payment or (iv) since the formation of the Purchaser, directly or indirectly, given or agreed to give any unlawful gift or similar benefit in any material amount to any customer, supplier, governmental employee or other Person who is or may be in a position to help or hinder the Purchaser or assist it in connection with any actual or proposed transaction.</w:t>
      </w:r>
    </w:p>
    <w:p>
      <w:pPr>
        <w:spacing w:after="0" w:line="119" w:lineRule="exact"/>
        <w:rPr>
          <w:rFonts w:ascii="Times New Roman" w:cs="Times New Roman" w:eastAsia="Times New Roman" w:hAnsi="Times New Roman"/>
          <w:sz w:val="18"/>
          <w:szCs w:val="18"/>
          <w:color w:val="auto"/>
        </w:rPr>
      </w:pPr>
    </w:p>
    <w:p>
      <w:pPr>
        <w:jc w:val="both"/>
        <w:ind w:right="40" w:firstLine="1304"/>
        <w:spacing w:after="0" w:line="266" w:lineRule="auto"/>
        <w:tabs>
          <w:tab w:leader="none" w:pos="154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Purchaser are and have been conducted at all times in material compliance with money laundering statutes in all applicable jurisdictions, the rules and regulations thereunder and any related or similar rules, regulations or guidelines, issued, administered or enforced by any Governmental Authority, and no Action involving the Purchaser with respect to any of the foregoing is pending or threatened in writing.</w:t>
      </w:r>
    </w:p>
    <w:p>
      <w:pPr>
        <w:spacing w:after="0" w:line="94" w:lineRule="exact"/>
        <w:rPr>
          <w:rFonts w:ascii="Times New Roman" w:cs="Times New Roman" w:eastAsia="Times New Roman" w:hAnsi="Times New Roman"/>
          <w:sz w:val="18"/>
          <w:szCs w:val="18"/>
          <w:color w:val="auto"/>
        </w:rPr>
      </w:pPr>
    </w:p>
    <w:p>
      <w:pPr>
        <w:ind w:right="80" w:firstLine="1304"/>
        <w:spacing w:after="0" w:line="256" w:lineRule="auto"/>
        <w:tabs>
          <w:tab w:leader="none" w:pos="154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Purchaser or any of its directors or officers, or, to the Knowledge of the Purchaser, any other Representative acting on behalf of the Purchaser is currently identified on the specially designated nationals or other blocked person list or otherwise currently subject to any U.S. sanctions administered by the Office of Foreign Assets Control of the U.S. Treasury Department (“</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and the Purchaser has not, in the last five (5) fiscal years, directly or indirectly, used any funds, or loaned, contributed or otherwise made available such funds to any Subsidiary, joint venture partner or other Person, in connection with any sales or operations in any other country sanctioned by OFAC or for the purpose of financing the activities of any Person currently subject to, or otherwise in violation of, any U.S. sanctions administered by OFAC.</w:t>
      </w:r>
    </w:p>
    <w:p>
      <w:pPr>
        <w:spacing w:after="0" w:line="120"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3.20</w:t>
      </w:r>
      <w:r>
        <w:rPr>
          <w:rFonts w:ascii="Times New Roman" w:cs="Times New Roman" w:eastAsia="Times New Roman" w:hAnsi="Times New Roman"/>
          <w:sz w:val="18"/>
          <w:szCs w:val="18"/>
          <w:color w:val="auto"/>
        </w:rPr>
        <w:t xml:space="preserve"> lists all insurance policies (by policy number, insurer, coverage period, coverage amount, annual premium and type of policy) held by the Purchaser relating to the Purchaser or its business, properties, assets, directors, officers and employees, copies of which have been provided to the Company. All premiums due and payable under all such insurance policies have been timely paid and the Purchaser is otherwise in material compliance with the terms of such insurance policies. All such insurance policies are in full force and effect, and there is no threatened in writing termination of, or material premium increase with respect to, any of such insurance policies. There have been no insurance claims made by the Purchaser. The Purchaser has reported to its insurers all claims and pending circumstances that would reasonably be expected to result in a claim, except where such failure to report such a claim would not be reasonably likely to have a Material Adverse Effect on the Purchaser.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28" w:name="page229"/>
    <w:bookmarkEnd w:id="228"/>
    <w:p>
      <w:pPr>
        <w:ind w:left="44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Purchaser expressly for inclusion or incorporation by reference:</w:t>
      </w:r>
    </w:p>
    <w:p>
      <w:pPr>
        <w:spacing w:after="0" w:line="27" w:lineRule="exact"/>
        <w:rPr>
          <w:sz w:val="20"/>
          <w:szCs w:val="20"/>
          <w:color w:val="auto"/>
        </w:rPr>
      </w:pPr>
    </w:p>
    <w:p>
      <w:pPr>
        <w:ind w:firstLine="8"/>
        <w:spacing w:after="0" w:line="251" w:lineRule="auto"/>
        <w:tabs>
          <w:tab w:leader="none" w:pos="24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current report on Form 8-K, and any exhibits thereto or any other report, form, registration or other filing made with any Governmental Authority or stock exchange with respect to the transactions contemplated by this Agreement or any Ancillary Documents; (b) in the Registration Statement; or (c) in the mailings or other distributions to the Purchaser’s stockholders and/or prospective investors with respect to the consummation of the transactions contemplated by this Agreement or in any amendment to any of documents identified in (a) through (c), will, when filed, made available, mailed or distributed, as the case may be, contain any untrue statement of a material fact or omit to state any material fact required to be stated therein or necessary in order to make the statements therein, in light of the circumstances under which they are made, not misleading. None of the information supplied or to be supplied by the Purchaser expressly for inclusion or incorporation by reference in any of the Signing Press Release, the Signing Filing, the Closing Press Release and the Closing Filing will, when filed or distributed, as applicable, contain any untrue statement of a material fact or omit to state any material fact required to be stated therein or necessary in order to make the statements therein, in light of the circumstances under which they are made, not misleading. Notwithstanding the foregoing, the Purchaser makes no representation, warranty or covenant with respect to any information supplied by or on behalf of the Company or any of its Affiliates.</w:t>
      </w:r>
    </w:p>
    <w:p>
      <w:pPr>
        <w:spacing w:after="0" w:line="111"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As of the date hereof, there is at least $75,750,000 held in the Trust Account. Prior to the Closing, none of the funds held in the Trust Account may be released except in accordance with the Trust Agreement, the Purchaser’s Organizational Documents and the Purchaser IPO Prospectus. Amounts in the Trust Account are invested in United States Government securities or in money market funds meeting certain conditions under Rule 2a-7 promulgated under the Investment Company Act of 1940. The Purchaser has performed all material obligations required to be performed by it to date under, and is not in material default, breach or delinquent in performance or any other respect (claimed or actual) in connection with, the Trust Agreement, and no event has occurred which, with due notice or lapse of time or both, would constitute such a default or breach thereunder. The Trust Agreement is in full force and effect and is a legal, valid and binding obligation of the Purchaser and, to the Knowledge of the Purchaser, the Trustee, enforceable in accordance with its terms, subject to the Enforceability Exceptions. Except for amendments thereto required in connection with an Extension, the Trust Agreement has not been terminated, repudiated, rescinded, amended or supplemented or modified, in any respect, and to the Knowledge of the Purchaser, (i) no such termination, repudiation, rescission, amendment, supplement or modification is contemplated, and (ii) no circumstance exists that would reasonably be expected to result in a termination, repudiation or rescission of the Trust Agreement. There are no separate Contracts, side letters or other arrangements (whether written or unwritten, express or implied) that would cause the description of the Trust Agreement in the Purchaser SEC Reports filed or furnished by the Purchaser to be inaccurate or that would entitle any Person (other than stockholders of the Purchaser to redeem their shares of Purchaser Common Stock pursuant to the Purchaser’s Organizational Documents and the underwriters of the Purchaser IPO with respect to deferred underwriting commissions) to any portion of the proceeds in the Trust Account prior to the closing of a Business Combination. As of the date hereof, the Purchaser does not have any reason to believe that any of the conditions to the use of funds in the Trust Account will not be satisfied or funds available in the Trust Account will not be available to the Purchaser on the Closing Date. There are no Actions pending with respect to the Trust Account. The Purchaser has not released any money from the Trust Account other than to pay Taxes from any interest income earned in the Trust Account in accordance with the Trust Agreement. As of the Effective Time, the obligations of the Purchaser to dissolve or liquidate pursuant to the Purchaser’s Organizational Documents shall terminate and the Purchaser shall have no obligation whatsoever pursuant to the Purchaser’s Organizational Documents to dissolve and liquidate the assets of the Purchaser by reason of the consummation of the transactions contemplated herein. Following the Effective Time, no stockholder of the Purchaser is or shall be entitled to receive any amount from the Trust Account except to the extent such stockholder shall have elected to tender its shares of Purchaser Common Stock for Redemption pursuant to a Redemption in compliance with the Purchaser’s Organizational Documents.</w:t>
      </w:r>
    </w:p>
    <w:p>
      <w:pPr>
        <w:spacing w:after="0" w:line="138"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The Purchaser has conducted its own independent investigation, review and analysis of the business, results of operations, prospects, condition (financial or otherwise) or assets of the Target Companies, and acknowledges that it has been provided adequate access to the personnel, properties, assets, premises, books and records, and other documents and data of the Target Companies for such purpose. The Purchaser acknowledges and agrees that: (a) in making its decision to enter into this Agreement and to consummate the transactions contemplated hereby, it has relied solely upon its own investigation and the express representations and warranties of the Company set forth in this Agreement (including the related portions of the Company Disclosure Schedules) and in any certificate delivered to the Purchaser pursuant hereto, and the information provided by or on behalf of the Company for the Registration Statement; and (b) none of the Company nor its respective Representatives have made any representation or warranty as to the Target Companies, or this Agreement, except as expressly set forth in this Agreement (including the related portions of the Company Disclosure Schedules) or in any certificate delivered to the Purchaser pursuant hereto, or with respect to the information provided by or on behalf of the Company for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29" w:name="page230"/>
    <w:bookmarkEnd w:id="229"/>
    <w:p>
      <w:pPr>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xml:space="preserve">. Except for the representations and warranties expressly made by the Purchaser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modified by the Purchaser Disclosure Schedules and the Purchaser SEC Reports) or as expressly set forth in an Ancillary Document, neither the Purchaser nor any other Person on its behalf makes any express or implied representation or warranty with respect to any of the Purchaser or Merger Sub or their respective business, operations, assets or Liabilities, or the transactions contemplated by this Agreement or any of the other Ancillary Documents, and the Purchaser and Merger Sub each hereby expressly disclaims any other representations or warranties, whether implied or made by the Purchaser, Merger Sub or any of their respective Representatives. Except for the representations and warranties expressly made by the Purchaser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modified by the Purchaser Disclosure Schedules) or in an Ancillary Document, the Purchaser hereby expressly disclaims all liability and responsibility for any representation, warranty, projection, forecast, statement or information made, communicated or furnished (orally or in writing) to the Company or any of its Representatives (including any opinion, information, projection or advice that may have been or may be provided to the Company or any of its Representatives by any Representative of the Purchaser or Merger Sub), including any representations or warranties regarding the probable success or profitability of the businesses of the Purchaser or Merger Sub.</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-19050</wp:posOffset>
            </wp:positionV>
            <wp:extent cx="32512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51200" cy="8255"/>
                    </a:xfrm>
                    <a:prstGeom prst="rect">
                      <a:avLst/>
                    </a:prstGeom>
                    <a:noFill/>
                  </pic:spPr>
                </pic:pic>
              </a:graphicData>
            </a:graphic>
          </wp:anchor>
        </w:drawing>
      </w:r>
    </w:p>
    <w:p>
      <w:pPr>
        <w:spacing w:after="0" w:line="115" w:lineRule="exact"/>
        <w:rPr>
          <w:sz w:val="20"/>
          <w:szCs w:val="20"/>
          <w:color w:val="auto"/>
        </w:rPr>
      </w:pPr>
    </w:p>
    <w:p>
      <w:pPr>
        <w:ind w:right="80" w:firstLine="432"/>
        <w:spacing w:after="0" w:line="278" w:lineRule="auto"/>
        <w:rPr>
          <w:sz w:val="20"/>
          <w:szCs w:val="20"/>
          <w:color w:val="auto"/>
        </w:rPr>
      </w:pPr>
      <w:r>
        <w:rPr>
          <w:rFonts w:ascii="Times New Roman" w:cs="Times New Roman" w:eastAsia="Times New Roman" w:hAnsi="Times New Roman"/>
          <w:sz w:val="17"/>
          <w:szCs w:val="17"/>
          <w:color w:val="auto"/>
        </w:rPr>
        <w:t>Except as set forth in (i) the disclosure schedules delivered by the Company to the Purchaser on the date hereof (the “</w:t>
      </w:r>
      <w:r>
        <w:rPr>
          <w:rFonts w:ascii="Times New Roman" w:cs="Times New Roman" w:eastAsia="Times New Roman" w:hAnsi="Times New Roman"/>
          <w:sz w:val="17"/>
          <w:szCs w:val="17"/>
          <w:b w:val="1"/>
          <w:bCs w:val="1"/>
          <w:i w:val="1"/>
          <w:iCs w:val="1"/>
          <w:color w:val="auto"/>
        </w:rPr>
        <w:t>Company 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Schedules</w:t>
      </w:r>
      <w:r>
        <w:rPr>
          <w:rFonts w:ascii="Times New Roman" w:cs="Times New Roman" w:eastAsia="Times New Roman" w:hAnsi="Times New Roman"/>
          <w:sz w:val="17"/>
          <w:szCs w:val="17"/>
          <w:color w:val="auto"/>
        </w:rPr>
        <w:t>”), the Section numbers of which are numbered to correspond to the Section numbers of this Agreement to which they refer (provided, however,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that an item disclosed in any Section of the Company Disclosure Schedules shall be deemed to have been disclosed with respect to all other Sections of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to which the relevance of such disclosure is reasonably apparent on its face), or (ii) the Company SEC Reports that are available on the SEC’s web site through EDGAR, the Company hereby represents and warrants to the Purchaser, as of the date hereof and as of the Closing, as follows:</w:t>
      </w:r>
    </w:p>
    <w:p>
      <w:pPr>
        <w:spacing w:after="0" w:line="100"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Standing</w:t>
      </w:r>
      <w:r>
        <w:rPr>
          <w:rFonts w:ascii="Times New Roman" w:cs="Times New Roman" w:eastAsia="Times New Roman" w:hAnsi="Times New Roman"/>
          <w:sz w:val="18"/>
          <w:szCs w:val="18"/>
          <w:color w:val="auto"/>
        </w:rPr>
        <w:t xml:space="preserve">. The Company is a corporation duly incorporated, validly existing and in good standing under the DGCL and has all requisite corporate power and authority to own, lease and operate its properties and to carry on its business as now being conducted. Each Subsidiary of the Company is a corporation or other entity duly formed, validly existing and in good standing under the Laws of its jurisdiction of organization and has all requisite corporate power and authority to own, lease and operate its properties and to carry on its business as now being conducted. Each Target Company is duly qualified or licensed and in good standing in the jurisdiction in which it is incorporated or registered and in each other jurisdiction where it does business or operates to the extent that the character of the property owned, or leased or operated by it or the nature of the business conducted by it makes such qualification or licensing necessary, except where failure to be so qualified or licensed or in good standing can be cured without material cost or expense.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xml:space="preserve"> lists all jurisdictions in which any Target Company is qualified to conduct business and all names other than its legal name under which any Target Company does business. The Company has provided to the Purchaser accurate and complete copies of its Organizational Documents and the Organizational Documents of each of its Subsidiaries, each as amended to date and as currently in effect. No Target Company is in violation of any provision of its Organizational Documents in any material respect.</w:t>
      </w:r>
    </w:p>
    <w:p>
      <w:pPr>
        <w:spacing w:after="0" w:line="111"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 Binding Agreement</w:t>
      </w:r>
      <w:r>
        <w:rPr>
          <w:rFonts w:ascii="Times New Roman" w:cs="Times New Roman" w:eastAsia="Times New Roman" w:hAnsi="Times New Roman"/>
          <w:sz w:val="18"/>
          <w:szCs w:val="18"/>
          <w:color w:val="auto"/>
        </w:rPr>
        <w:t>. The Company has all requisite corporate power and authority to execute and deliver this Agreement and each Ancillary Document to which it is or is required to be a party, to perform the Company’s obligations hereunder and thereunder and to consummate the transactions contemplated hereby and thereby, subject to obtaining the Required Company Stockholder Approval. The execution and delivery of this Agreement and each Ancillary Document to which the Company is or is required to be a party and the consummation of the transactions contemplated hereby and thereby, (a) have been duly and validly authorized by the Company’s board of directors in accordance with the Company’s Organizational Documents, the DGCL, any other applicable Law or any Contract to which the Company or any of its stockholders is a party or by which it or its securities are bound and (b) other than the Required Company Stockholder Approval, no other corporate proceedings on the part of the Company are necessary to authorize the execution and delivery of this Agreement and each Ancillary Document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30" w:name="page231"/>
    <w:bookmarkEnd w:id="230"/>
    <w:p>
      <w:pPr>
        <w:spacing w:after="0" w:line="253" w:lineRule="auto"/>
        <w:rPr>
          <w:sz w:val="20"/>
          <w:szCs w:val="20"/>
          <w:color w:val="auto"/>
        </w:rPr>
      </w:pPr>
      <w:r>
        <w:rPr>
          <w:rFonts w:ascii="Times New Roman" w:cs="Times New Roman" w:eastAsia="Times New Roman" w:hAnsi="Times New Roman"/>
          <w:sz w:val="18"/>
          <w:szCs w:val="18"/>
          <w:color w:val="auto"/>
        </w:rPr>
        <w:t>to which it is a party or to consummate the transactions contemplated hereby and thereby. This Agreement has been, and each Ancillary Document to which the Company is or is required to be a party shall be when delivered, duly and validly executed and delivered by the Company and assuming the due authorization, execution and delivery of this Agreement and any such Ancillary Document by the other parties hereto and thereto, constitutes, or when delivered shall constitute, the legal, valid and binding obligation of the Company, enforceable against the Company in accordance with its terms, subject to the Enforceability Exceptions. On or prior to the date of this Agreement, the Company’s board of directors, by resolutions duly adopted at a meeting duly called and held or by unanimous written consent (i) determined that this Agreement and the Merger and the other transactions contemplated hereby are advisable, fair to, and in the best interests of, the Company and its stockholders in accordance with the DGCL, (ii) approved this Agreement and the Merger and the other transactions contemplated by this Agreement in accordance with the DGCL and the Company’s Organizational Documents, (iii) directed that this Agreement and the other matters required for the Required Company Stockholder Approval be submitted to the Company’s stockholders for adoption and approval and (iv) resolved to recommend that the Company’s stockholders adopt and approve this Agreement and the other matters required for the Required Company Stockholder Approval (the “</w:t>
      </w:r>
      <w:r>
        <w:rPr>
          <w:rFonts w:ascii="Times New Roman" w:cs="Times New Roman" w:eastAsia="Times New Roman" w:hAnsi="Times New Roman"/>
          <w:sz w:val="18"/>
          <w:szCs w:val="18"/>
          <w:b w:val="1"/>
          <w:bCs w:val="1"/>
          <w:i w:val="1"/>
          <w:iCs w:val="1"/>
          <w:color w:val="auto"/>
        </w:rPr>
        <w:t>Company Recommendation</w:t>
      </w:r>
      <w:r>
        <w:rPr>
          <w:rFonts w:ascii="Times New Roman" w:cs="Times New Roman" w:eastAsia="Times New Roman" w:hAnsi="Times New Roman"/>
          <w:sz w:val="18"/>
          <w:szCs w:val="18"/>
          <w:color w:val="auto"/>
        </w:rPr>
        <w:t>”). The Voting Agreements delivered by the Company include holders of Company Stock representing at least the Required Company Stockholder Approval, and such Voting Agreements are in full force and effect.</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304"/>
        <w:spacing w:after="0" w:line="253" w:lineRule="auto"/>
        <w:tabs>
          <w:tab w:leader="none" w:pos="153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authorized to issue: (i) 750,000,000 shares of Company Common Stock, of which 38,424,327 shares are issued and outstanding; and (ii) 10,000,000 shares of Company Preferred Stock, of which 8,000 shares are issued and outstanding. With respect to the Company Preferred Stock, the Company has designated (i) 530,968 shares of Company Preferred Stock as Series A Convertible Preferred Stock, of which no shares are issued and outstanding, and (ii) 2,000,000 shares of Company Preferred Stock as Series B Convertible Preferred Stock, of which 8,000 shares are issued and outstanding. Prior to giving effect to the transactions contemplated by this Agreement, all of the issued and outstanding Company Stock and other equity interests of the Company are set forth on </w:t>
      </w:r>
      <w:r>
        <w:rPr>
          <w:rFonts w:ascii="Times New Roman" w:cs="Times New Roman" w:eastAsia="Times New Roman" w:hAnsi="Times New Roman"/>
          <w:sz w:val="18"/>
          <w:szCs w:val="18"/>
          <w:u w:val="single" w:color="auto"/>
          <w:color w:val="auto"/>
        </w:rPr>
        <w:t>Schedule 4.3(a)</w:t>
      </w:r>
      <w:r>
        <w:rPr>
          <w:rFonts w:ascii="Times New Roman" w:cs="Times New Roman" w:eastAsia="Times New Roman" w:hAnsi="Times New Roman"/>
          <w:sz w:val="18"/>
          <w:szCs w:val="18"/>
          <w:color w:val="auto"/>
        </w:rPr>
        <w:t>, all of which shares and other equity interests are owned free and clear of any Liens other than those imposed under the Company Charter and applicable securities Laws. All of the outstanding shares of Company Stock have been duly authorized, are fully paid and non-assessable and not in violation of any purchase option, right of first refusal, preemptive right, subscription right or any similar right under any provision of the DGCL, any other applicable Law, the Company Charter or any Contract to which the Company is a party or by which it or its securities are bound. The Company holds no shares or other equity interests of the Company in its treasury. None of the outstanding shares or other equity interests of the Company were issued in violation of any applicable securities Laws. The rights, privileges and preferences of the Company Preferred Stock are as stated in the Company Charter and as provided by the DGCL.</w:t>
      </w:r>
    </w:p>
    <w:p>
      <w:pPr>
        <w:spacing w:after="0" w:line="122" w:lineRule="exact"/>
        <w:rPr>
          <w:rFonts w:ascii="Times New Roman" w:cs="Times New Roman" w:eastAsia="Times New Roman" w:hAnsi="Times New Roman"/>
          <w:sz w:val="18"/>
          <w:szCs w:val="18"/>
          <w:color w:val="auto"/>
        </w:rPr>
      </w:pPr>
    </w:p>
    <w:p>
      <w:pPr>
        <w:ind w:right="60" w:firstLine="1304"/>
        <w:spacing w:after="0" w:line="253" w:lineRule="auto"/>
        <w:tabs>
          <w:tab w:leader="none" w:pos="155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on </w:t>
      </w:r>
      <w:r>
        <w:rPr>
          <w:rFonts w:ascii="Times New Roman" w:cs="Times New Roman" w:eastAsia="Times New Roman" w:hAnsi="Times New Roman"/>
          <w:sz w:val="18"/>
          <w:szCs w:val="18"/>
          <w:u w:val="single" w:color="auto"/>
          <w:color w:val="auto"/>
        </w:rPr>
        <w:t>Schedule 4.3(b)</w:t>
      </w:r>
      <w:r>
        <w:rPr>
          <w:rFonts w:ascii="Times New Roman" w:cs="Times New Roman" w:eastAsia="Times New Roman" w:hAnsi="Times New Roman"/>
          <w:sz w:val="18"/>
          <w:szCs w:val="18"/>
          <w:color w:val="auto"/>
        </w:rPr>
        <w:t xml:space="preserve">, there are no Company Convertible Securities, or preemptive rights or rights of first refusal or first offer, nor are there any Contracts, commitments, arrangements or restrictions to which the Company or, to the Knowledge of the Company, any of its stockholders is a party or bound relating to any equity securities of the Company, whether or not outstanding. Except for the Company Warrants listed on </w:t>
      </w:r>
      <w:r>
        <w:rPr>
          <w:rFonts w:ascii="Times New Roman" w:cs="Times New Roman" w:eastAsia="Times New Roman" w:hAnsi="Times New Roman"/>
          <w:sz w:val="18"/>
          <w:szCs w:val="18"/>
          <w:u w:val="single" w:color="auto"/>
          <w:color w:val="auto"/>
        </w:rPr>
        <w:t>Schedule 4.3(b)</w:t>
      </w:r>
      <w:r>
        <w:rPr>
          <w:rFonts w:ascii="Times New Roman" w:cs="Times New Roman" w:eastAsia="Times New Roman" w:hAnsi="Times New Roman"/>
          <w:sz w:val="18"/>
          <w:szCs w:val="18"/>
          <w:color w:val="auto"/>
        </w:rPr>
        <w:t xml:space="preserve">, there are no outstanding or authorized stock option, restricted stock, equity appreciation, phantom equity or similar rights or plans with respect to the Company. Except as set forth on </w:t>
      </w:r>
      <w:r>
        <w:rPr>
          <w:rFonts w:ascii="Times New Roman" w:cs="Times New Roman" w:eastAsia="Times New Roman" w:hAnsi="Times New Roman"/>
          <w:sz w:val="18"/>
          <w:szCs w:val="18"/>
          <w:u w:val="single" w:color="auto"/>
          <w:color w:val="auto"/>
        </w:rPr>
        <w:t>Schedule 4.3(b)</w:t>
      </w:r>
      <w:r>
        <w:rPr>
          <w:rFonts w:ascii="Times New Roman" w:cs="Times New Roman" w:eastAsia="Times New Roman" w:hAnsi="Times New Roman"/>
          <w:sz w:val="18"/>
          <w:szCs w:val="18"/>
          <w:color w:val="auto"/>
        </w:rPr>
        <w:t xml:space="preserve">, there are no voting trusts, proxies, stockholder agreements or any other agreements or understandings with respect to the voting of the Company’s equity interests. Except as set forth in the Company Charter, there are no outstanding contractual obligations of the Company to repurchase, redeem or otherwise acquire any equity interests or securities of the Company, nor, except as set forth on </w:t>
      </w:r>
      <w:r>
        <w:rPr>
          <w:rFonts w:ascii="Times New Roman" w:cs="Times New Roman" w:eastAsia="Times New Roman" w:hAnsi="Times New Roman"/>
          <w:sz w:val="18"/>
          <w:szCs w:val="18"/>
          <w:u w:val="single" w:color="auto"/>
          <w:color w:val="auto"/>
        </w:rPr>
        <w:t>Schedule 4.3(b)</w:t>
      </w:r>
      <w:r>
        <w:rPr>
          <w:rFonts w:ascii="Times New Roman" w:cs="Times New Roman" w:eastAsia="Times New Roman" w:hAnsi="Times New Roman"/>
          <w:sz w:val="18"/>
          <w:szCs w:val="18"/>
          <w:color w:val="auto"/>
        </w:rPr>
        <w:t>, has the Company granted any registration rights to any Person with respect to the Company’s equity securities. All of the Company’s securities have been granted, offered, sold and issued in compliance with all applicable securities Laws. As a result of the consummation of the transactions contemplated by this Agreement, no equity interests of the Company are issuable and, other than with respect to the Company Preferred Stock and the Company Warrants, no rights in connection with any interests, warrants, rights, options or other securities of the Company accelerate or otherwise become triggered (whether as to vesting, exercisability, convertibility or otherwise).</w:t>
      </w:r>
    </w:p>
    <w:p>
      <w:pPr>
        <w:spacing w:after="0" w:line="108" w:lineRule="exact"/>
        <w:rPr>
          <w:rFonts w:ascii="Times New Roman" w:cs="Times New Roman" w:eastAsia="Times New Roman" w:hAnsi="Times New Roman"/>
          <w:sz w:val="18"/>
          <w:szCs w:val="18"/>
          <w:color w:val="auto"/>
        </w:rPr>
      </w:pPr>
    </w:p>
    <w:p>
      <w:pPr>
        <w:ind w:right="160" w:firstLine="1304"/>
        <w:spacing w:after="0" w:line="266" w:lineRule="auto"/>
        <w:tabs>
          <w:tab w:leader="none" w:pos="154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Company Financials, since February 12, 2021 (and to the Company’s Knowledge, since January 1, 2020), the Company has not declared or paid any distribution or dividend in respect of its equity interests and has not repurchased, redeemed or otherwise acquired any equity interests of the Company, and the board of directors of the Company has not authorized any of the foregoing.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31" w:name="page232"/>
    <w:bookmarkEnd w:id="231"/>
    <w:p>
      <w:pPr>
        <w:ind w:right="40" w:firstLine="432"/>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sets forth the name of each Subsidiary of the Company, and with respect to each Subsidiary (a) its jurisdiction of organization, (b) its authorized shares or other equity interests (if applicable), (c) the number of issued and outstanding shares or other equity interests and the record holders and beneficial owners thereof and (d) its Tax election to be treated as a corporate or a disregarded entity under the Code and any state or applicable non-U.S. Tax laws, if any. All of the outstanding equity securities of each Subsidiary of the Company are duly authorized and validly issued, fully paid and non-assessable (if applicable), and were offered, sold and delivered in compliance with all applicable securities Laws, and owned by one or more of the Company or its Subsidiaries free and clear of all Liens (other than those, if any, imposed by such Subsidiary’s Organizational Documents and applicable securities Laws). There are no Contracts to which the Company or any of its Affiliates is a party or bound with respect to the voting (including voting trusts or proxies) of the equity interests of any Subsidiary of the Company other than the Organizational Documents of any such Subsidiary. There are no outstanding or authorized options, warrants, rights, agreements, subscriptions, convertible securities or commitments to which any Subsidiary of the Company is a party or which are binding upon any Subsidiary of the Company providing for the issuance or Redemption of any equity interests of any Subsidiary of the Company. There are no outstanding equity appreciation, phantom equity, profit participation or similar rights granted by any Subsidiary of the Company. No Subsidiary of the Company has any limitation, whether by Contract, Order or applicable Law, on its ability to make any distributions or dividends to its equity holders or repay any debt owed to another Target Company. Except for the equity interests of the Subsidiaries listed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the Company does not own or have any rights to acquire, directly or indirectly, any equity interests of, or otherwise Control, any Person. None of the Company or its Subsidiaries is a participant in any joint venture, partnership or similar arrangement. Except as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there are no outstanding contractual obligations of the Company or its Subsidiaries to provide funds to, or make any investment (in the form of a loan, capital contribution or otherwise) in, any other Person.</w:t>
      </w:r>
    </w:p>
    <w:p>
      <w:pPr>
        <w:spacing w:after="0" w:line="112"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xml:space="preserve">. Except as otherwise described in </w:t>
      </w:r>
      <w:r>
        <w:rPr>
          <w:rFonts w:ascii="Times New Roman" w:cs="Times New Roman" w:eastAsia="Times New Roman" w:hAnsi="Times New Roman"/>
          <w:sz w:val="18"/>
          <w:szCs w:val="18"/>
          <w:u w:val="single" w:color="auto"/>
          <w:color w:val="auto"/>
        </w:rPr>
        <w:t>Schedule 4.5</w:t>
      </w:r>
      <w:r>
        <w:rPr>
          <w:rFonts w:ascii="Times New Roman" w:cs="Times New Roman" w:eastAsia="Times New Roman" w:hAnsi="Times New Roman"/>
          <w:sz w:val="18"/>
          <w:szCs w:val="18"/>
          <w:color w:val="auto"/>
        </w:rPr>
        <w:t>, no Consent of or with any Governmental Authority on the part of any Target Company is required to be obtained or made in connection with the execution, delivery or performance by the Company of this Agreement or any Ancillary Documents or the consummation by the Company of the transactions contemplated hereby or thereby other than (a) such filings as are expressly contemplated by this Agreement, (b) pursuant to Antitrust Laws, (c) any filings required with OTC Pink or the SEC with respect to the transactions contemplated by this Agreement, or (d) where the failure to obtain or make such Consents or to make such filings or notifications, would not, individually or in the aggregate, be or reasonably be expected to be material to the Target Companies, taken as a whole, or their respective abilities to perform their obligations under this Agreement or the Ancillary Documents or consummate the transactions contemplated hereby or thereby.</w:t>
      </w:r>
    </w:p>
    <w:p>
      <w:pPr>
        <w:spacing w:after="0" w:line="121"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Except as otherwise described in </w:t>
      </w:r>
      <w:r>
        <w:rPr>
          <w:rFonts w:ascii="Times New Roman" w:cs="Times New Roman" w:eastAsia="Times New Roman" w:hAnsi="Times New Roman"/>
          <w:sz w:val="18"/>
          <w:szCs w:val="18"/>
          <w:u w:val="single" w:color="auto"/>
          <w:color w:val="auto"/>
        </w:rPr>
        <w:t>Schedule 4.6</w:t>
      </w:r>
      <w:r>
        <w:rPr>
          <w:rFonts w:ascii="Times New Roman" w:cs="Times New Roman" w:eastAsia="Times New Roman" w:hAnsi="Times New Roman"/>
          <w:sz w:val="18"/>
          <w:szCs w:val="18"/>
          <w:color w:val="auto"/>
        </w:rPr>
        <w:t xml:space="preserve">, the execution and delivery by the Company (or any other Target Company, as applicable) of this Agreement and each Ancillary Document to which any Target Company is or is required to be a party or otherwise bound, and the consummation by any Target Company of the transactions contemplated hereby and thereby and compliance by any Target Company with any of the provisions hereof and thereof, will not (a) conflict with or violate any provision of any Target Company’s Organizational Documents, (b) subject to obtaining the Consents from Governmental Authorities referred to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hereof, the waiting periods referred to therein having expired, and any condition precedent to such Consent or waiver having been satisfied, conflict with or violate any Law, Order or Consent applicable to any Target Company or any of its properties or assets, or (c) (i) violate, conflict with or result in a breach of, (ii) constitute a default (or an event which, with notice or lapse of time or both, would constitute a default) under, (iii) result in the termination, withdrawal, suspension, cancellation or modification of, (iv) accelerate the performance required by any Target Company under, (v) result in a right of termination or acceleration under, (vi) give rise to any obligation to make payments or provide compensation under, (vii) result in the creation of any Lien upon any of the properties or assets of any Target Company under, (viii) give rise to any obligation to obtain any third party Consent or provide any notice to any Person or (ix) give any Person the right to declare a default, exercise any remedy, claim a rebate, chargeback, penalty or change in delivery schedule, accelerate the maturity or performance, cancel, terminate or modify any right, benefit, obligation or other term under, any of the terms, conditions or provisions of any Company Material Contract, except for any deviations from any of the foregoing clauses (a), (b) or (c) that would not, individually or in the aggregate, be or reasonably be expected to be material to the Target Companies, taken as a whole, or their respective abilities to perform their obligations under this Agreement or the Ancillary Documents or consummate the transactions contemplated hereby or thereby.</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21" w:right="379" w:bottom="1440" w:gutter="0" w:footer="0" w:header="0"/>
        </w:sectPr>
      </w:pPr>
    </w:p>
    <w:bookmarkStart w:id="232" w:name="page233"/>
    <w:bookmarkEnd w:id="232"/>
    <w:p>
      <w:pPr>
        <w:ind w:left="40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SEC Filings and Company Financials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40" w:right="60" w:firstLine="1304"/>
        <w:spacing w:after="0" w:line="251" w:lineRule="auto"/>
        <w:tabs>
          <w:tab w:leader="none" w:pos="149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forms, reports, schedules, statements, registration statements, prospectuses and other documents required to be filed or furnished by the Company with the SEC under the Securities Act and/or the Exchange Act, together with any amendments, restatements or supplements thereto, and will file all such forms, reports, schedules, statements and other documents required to be filed subsequent to the date of this Agreement. Except to the extent available on the SEC’s web site through EDGAR, the Company has delivered to the Purchaser copies in the form filed with the SEC of all of the following: (i) the Company’s annual reports on Form 10-K for the past three (3) fiscal years, (ii) the Company’s quarterly reports on Form 10-Q for each fiscal quarter from and after January 1, 2019, that the Company filed such reports to disclose its quarterly financial results in each of the fiscal years of the Company referred to in clause (i) above, (iii) all other forms, reports, registration statements, prospectuses and other documents (other than preliminary materials) filed by the Company with the SEC since the beginning of the first fiscal year referred to in clause (i) above (the forms, reports, registration statements, prospectuses and other documents referred to in clauses (i), (ii) and (iii) above, whether or not available through EDGAR, are, collectively, the “</w:t>
      </w:r>
      <w:r>
        <w:rPr>
          <w:rFonts w:ascii="Times New Roman" w:cs="Times New Roman" w:eastAsia="Times New Roman" w:hAnsi="Times New Roman"/>
          <w:sz w:val="18"/>
          <w:szCs w:val="18"/>
          <w:b w:val="1"/>
          <w:bCs w:val="1"/>
          <w:i w:val="1"/>
          <w:iCs w:val="1"/>
          <w:color w:val="auto"/>
        </w:rPr>
        <w:t>Company SEC Reports</w:t>
      </w:r>
      <w:r>
        <w:rPr>
          <w:rFonts w:ascii="Times New Roman" w:cs="Times New Roman" w:eastAsia="Times New Roman" w:hAnsi="Times New Roman"/>
          <w:sz w:val="18"/>
          <w:szCs w:val="18"/>
          <w:color w:val="auto"/>
        </w:rPr>
        <w:t>”), and (iv) all certifications and statements required by (A) Rules 13a-14 or 15d-14 under the Exchange Act, and (B) 18 U.S.C. §1350 (Section 906 of SOX) with respect to any report referred to in clause (i) above (collectively, the “</w:t>
      </w:r>
      <w:r>
        <w:rPr>
          <w:rFonts w:ascii="Times New Roman" w:cs="Times New Roman" w:eastAsia="Times New Roman" w:hAnsi="Times New Roman"/>
          <w:sz w:val="18"/>
          <w:szCs w:val="18"/>
          <w:b w:val="1"/>
          <w:bCs w:val="1"/>
          <w:i w:val="1"/>
          <w:iCs w:val="1"/>
          <w:color w:val="auto"/>
        </w:rPr>
        <w:t>Company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Certifications</w:t>
      </w:r>
      <w:r>
        <w:rPr>
          <w:rFonts w:ascii="Times New Roman" w:cs="Times New Roman" w:eastAsia="Times New Roman" w:hAnsi="Times New Roman"/>
          <w:sz w:val="18"/>
          <w:szCs w:val="18"/>
          <w:color w:val="auto"/>
        </w:rPr>
        <w:t>”). The Company SEC Reports (x) were prepared in all material respects in accordance with the requirements of the Securities Act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Exchange Act, as the case may be, and the rules and regulations thereunder and (y) did not, as of their respective effective dates (in the case of Company SEC Reports that are registration statements filed pursuant to the requirements of the Securities Act) and at the time they were filed with the SEC (in the case of all other Company SEC Reports) contain any untrue statement of a material fact or omit to state a material fact required to be stated therein or necessary in order to make the statements made therein, in the light of the circumstances under which they were made, not misleading, and the Company Public Certifications are each true as of their respective dates of filing. As of the date of this Agreement, there are no outstanding or unresolved comments in comment letters received from the SEC with respect to any Company SEC Reports. None of the Company SEC Reports filed on or prior to the date of this Agreement is subject to ongoing SEC review or investigations as of the date of this Agreement. As used in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the term “file” shall be broadly construed to include any manner permitted by SEC rules and regulations in which a document or information is furnished, supplied or otherwise made available to the SEC. As of the date of this Agreement, (A) the Company Common Stock is listed on the OTC Pink, (B) the Company has not received any written deficiency notice from the OTC Pink relating to the continued listing requirements of such Company Common Stock, (C) there are no Actions pending or threatened in writing against the Company by the Financial Industry Regulatory Authority with respect to any intention by such entity to suspend, prohibit or terminate the quoting of such Company Common Stock on the OTC Pink and (D) such Company Common Stock is compliance with all of the applicable corporate governance rules of the OTC Pink. Notwithstanding anything to the contrary contained herein, any representations in this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relating to the Company (but not any other Target Company) for period prior to February 12, 2021 shall be made to the Company’s Knowledge.</w:t>
      </w:r>
    </w:p>
    <w:p>
      <w:pPr>
        <w:spacing w:after="0" w:line="131" w:lineRule="exact"/>
        <w:rPr>
          <w:rFonts w:ascii="Times New Roman" w:cs="Times New Roman" w:eastAsia="Times New Roman" w:hAnsi="Times New Roman"/>
          <w:sz w:val="18"/>
          <w:szCs w:val="18"/>
          <w:color w:val="auto"/>
        </w:rPr>
      </w:pPr>
    </w:p>
    <w:p>
      <w:pPr>
        <w:ind w:left="-40" w:firstLine="1304"/>
        <w:spacing w:after="0" w:line="253" w:lineRule="auto"/>
        <w:tabs>
          <w:tab w:leader="none" w:pos="150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b w:val="1"/>
          <w:bCs w:val="1"/>
          <w:i w:val="1"/>
          <w:iCs w:val="1"/>
          <w:color w:val="auto"/>
        </w:rPr>
        <w:t>Company Financials</w:t>
      </w:r>
      <w:r>
        <w:rPr>
          <w:rFonts w:ascii="Times New Roman" w:cs="Times New Roman" w:eastAsia="Times New Roman" w:hAnsi="Times New Roman"/>
          <w:sz w:val="18"/>
          <w:szCs w:val="18"/>
          <w:color w:val="auto"/>
        </w:rPr>
        <w:t>” means (i) the audited consolidated financial statements of the Target Companies (including, in each case, any related notes thereto), consisting of the consolidated balance sheets of the Target Companies as of December 31, 2021 and December 31, 2020, and the related consolidated audited income statements, changes in stockholders’ equity and statements of cash flows for the fiscal years then ended, each audited by a PCAOB qualified auditor in accordance with GAAP and PCAOB standards, and (ii) the unaudited consolidated financial statements of the Target Companies, consisting of the consolidated balance sheet of the Target Companies as of March 31, 2022 (the “</w:t>
      </w:r>
      <w:r>
        <w:rPr>
          <w:rFonts w:ascii="Times New Roman" w:cs="Times New Roman" w:eastAsia="Times New Roman" w:hAnsi="Times New Roman"/>
          <w:sz w:val="18"/>
          <w:szCs w:val="18"/>
          <w:b w:val="1"/>
          <w:bCs w:val="1"/>
          <w:i w:val="1"/>
          <w:iCs w:val="1"/>
          <w:color w:val="auto"/>
        </w:rPr>
        <w:t>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Balance Sheet Date</w:t>
      </w:r>
      <w:r>
        <w:rPr>
          <w:rFonts w:ascii="Times New Roman" w:cs="Times New Roman" w:eastAsia="Times New Roman" w:hAnsi="Times New Roman"/>
          <w:sz w:val="18"/>
          <w:szCs w:val="18"/>
          <w:color w:val="auto"/>
        </w:rPr>
        <w:t>”), and the related unaudited consolidated income statement, changes in stockholder equity and statement of cash flows for the three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then ended. Except to the extent contained in the Company SEC Reports and available on the SEC’s web site through EDGAR, true and correct copies of the Company Financials have been provided to the Purchaser. The Company Financials (i) accurately reflect the books and records of the Target Companies as of the times and for the periods referred to therein, (ii) were prepared in accordance with GAAP, consistently applied throughout and among the periods involved (except that the unaudited statements exclude the footnote disclosures and other presentation items required for GAAP and exclude year-end adjustments which are not expected to be material in amount), (iii) comply with all applicable accounting requirements under the Securities Act and the rules and regulations of the SEC thereunder including Regulation S-X or Regulation S-K, as applicable, and (iv) fairly present in all material respects the consolidated financial position of the Target Companies as of the respective dates thereof and the consolidated results of the operations and cash flows of the Target Companies for the periods indicated. No Target Company other than the Company has ever been subject to the reporting requirements of Sections 13(a) and 15(d) of the Exchange 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60" w:top="621" w:right="339" w:bottom="1440" w:gutter="0" w:footer="0" w:header="0"/>
        </w:sectPr>
      </w:pPr>
    </w:p>
    <w:bookmarkStart w:id="233" w:name="page234"/>
    <w:bookmarkEnd w:id="233"/>
    <w:p>
      <w:pPr>
        <w:ind w:right="180" w:firstLine="1304"/>
        <w:spacing w:after="0" w:line="255" w:lineRule="auto"/>
        <w:tabs>
          <w:tab w:leader="none" w:pos="153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financial books and records of the Target Companies are complete and accurate in all material respects and have been maintained in the ordinary course consistent with past practice and in accordance in all material respects with applicable Laws. No Target Company has been subject to or involved in any material fraud that involves management or other employees who have a significant role in the internal controls over financial reporting of any Target Company. In the past five (5) years, no Target Company or its Representatives has received any written complaint, allegation, assertion or claim regarding the accounting or auditing practices, procedures, methodologies or methods of any Target Company or its internal accounting controls, including any material written complaint, allegation, assertion or claim that any Target Company has engaged in questionable accounting or auditing practices.</w:t>
      </w:r>
    </w:p>
    <w:p>
      <w:pPr>
        <w:spacing w:after="0" w:line="107" w:lineRule="exact"/>
        <w:rPr>
          <w:rFonts w:ascii="Times New Roman" w:cs="Times New Roman" w:eastAsia="Times New Roman" w:hAnsi="Times New Roman"/>
          <w:sz w:val="18"/>
          <w:szCs w:val="18"/>
          <w:color w:val="auto"/>
        </w:rPr>
      </w:pPr>
    </w:p>
    <w:p>
      <w:pPr>
        <w:jc w:val="both"/>
        <w:ind w:right="60" w:firstLine="1304"/>
        <w:spacing w:after="0" w:line="289" w:lineRule="auto"/>
        <w:tabs>
          <w:tab w:leader="none" w:pos="1548"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Target Companies do not have any Indebtedness other than the Indebtedness set forth on </w:t>
      </w:r>
      <w:r>
        <w:rPr>
          <w:rFonts w:ascii="Times New Roman" w:cs="Times New Roman" w:eastAsia="Times New Roman" w:hAnsi="Times New Roman"/>
          <w:sz w:val="17"/>
          <w:szCs w:val="17"/>
          <w:u w:val="single" w:color="auto"/>
          <w:color w:val="auto"/>
        </w:rPr>
        <w:t>Schedule 4.7(d)</w:t>
      </w:r>
      <w:r>
        <w:rPr>
          <w:rFonts w:ascii="Times New Roman" w:cs="Times New Roman" w:eastAsia="Times New Roman" w:hAnsi="Times New Roman"/>
          <w:sz w:val="17"/>
          <w:szCs w:val="17"/>
          <w:color w:val="auto"/>
        </w:rPr>
        <w:t>, which schedule sets forth the amounts (including principal and any accrued but unpaid interest or other obligations through the date of this Agreement) with respect to such Indebtedness. True, complete and correct copies of all Contracts representing Indebtedness have been made available to Purchaser for review by Purchaser.</w:t>
      </w:r>
    </w:p>
    <w:p>
      <w:pPr>
        <w:spacing w:after="0" w:line="90" w:lineRule="exact"/>
        <w:rPr>
          <w:rFonts w:ascii="Times New Roman" w:cs="Times New Roman" w:eastAsia="Times New Roman" w:hAnsi="Times New Roman"/>
          <w:sz w:val="17"/>
          <w:szCs w:val="17"/>
          <w:color w:val="auto"/>
        </w:rPr>
      </w:pPr>
    </w:p>
    <w:p>
      <w:pPr>
        <w:ind w:right="160" w:firstLine="1304"/>
        <w:spacing w:after="0" w:line="258" w:lineRule="auto"/>
        <w:tabs>
          <w:tab w:leader="none" w:pos="154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4.7(e)</w:t>
      </w:r>
      <w:r>
        <w:rPr>
          <w:rFonts w:ascii="Times New Roman" w:cs="Times New Roman" w:eastAsia="Times New Roman" w:hAnsi="Times New Roman"/>
          <w:sz w:val="18"/>
          <w:szCs w:val="18"/>
          <w:color w:val="auto"/>
        </w:rPr>
        <w:t>, no Target Company is subject to any Liabilities or obligations (whether or not required to be reflected on a balance sheet prepared in accordance with GAAP), except for those that are either (i) adequately reflected or reserved on or provided for in the consolidated balance sheet of the Company and its Subsidiaries as of the Interim Balance Sheet Date contained in the Company Financials or (ii) not material and that were incurred after the Interim Balance Sheet Date in the ordinary course of business consistent with past practice (other than Liabilities for breach of any Contract or violation of any Law).</w:t>
      </w:r>
    </w:p>
    <w:p>
      <w:pPr>
        <w:spacing w:after="0" w:line="116"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4.8</w:t>
      </w:r>
      <w:r>
        <w:rPr>
          <w:rFonts w:ascii="Times New Roman" w:cs="Times New Roman" w:eastAsia="Times New Roman" w:hAnsi="Times New Roman"/>
          <w:sz w:val="18"/>
          <w:szCs w:val="18"/>
          <w:color w:val="auto"/>
        </w:rPr>
        <w:t xml:space="preserve">, since the Interim Balance Sheet Date until the date hereof, each Target Company has (a) conducted its business in all material respects in the ordinary course of business consistent with past practice, (b) not been subject to a Material Adverse Effect and (c) has not taken any action or committed or agreed to take any action that would be prohibited by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(without giving effect to </w:t>
      </w:r>
      <w:r>
        <w:rPr>
          <w:rFonts w:ascii="Times New Roman" w:cs="Times New Roman" w:eastAsia="Times New Roman" w:hAnsi="Times New Roman"/>
          <w:sz w:val="18"/>
          <w:szCs w:val="18"/>
          <w:u w:val="single" w:color="auto"/>
          <w:color w:val="auto"/>
        </w:rPr>
        <w:t>Schedule 5.2</w:t>
      </w:r>
      <w:r>
        <w:rPr>
          <w:rFonts w:ascii="Times New Roman" w:cs="Times New Roman" w:eastAsia="Times New Roman" w:hAnsi="Times New Roman"/>
          <w:sz w:val="18"/>
          <w:szCs w:val="18"/>
          <w:color w:val="auto"/>
        </w:rPr>
        <w:t>) if such action were taken on or after the date hereof without the consent of the Purchaser.</w:t>
      </w:r>
    </w:p>
    <w:p>
      <w:pPr>
        <w:spacing w:after="0" w:line="99" w:lineRule="exact"/>
        <w:rPr>
          <w:sz w:val="20"/>
          <w:szCs w:val="20"/>
          <w:color w:val="auto"/>
        </w:rPr>
      </w:pPr>
    </w:p>
    <w:p>
      <w:pPr>
        <w:ind w:right="120" w:firstLine="432"/>
        <w:spacing w:after="0" w:line="289"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No Target Company is or has been, in any material respect, in conflict or non-compliance with, or in default or violation of, nor has any Target Company received, since January 1, 2019, any written notice of any conflict or non-compliance with, or default or violation of, in any material respect, any applicable Laws by which it or any of its properties, assets, employees, business or operations are or were bound or affected.</w:t>
      </w:r>
    </w:p>
    <w:p>
      <w:pPr>
        <w:spacing w:after="0" w:line="90"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Each Target Company (and its employees who are legally required to be licensed by a Governmental Authority in order to perform his or her duties with respect to his or her employment with any Target Company), holds all Permits (including those administered by the FDA or by any Governmental Authority performing functions similar to those performed by the FDA) necessary to lawfully conduct in all material respects its business as presently conducted, and to own, lease and operate its assets and properties (collectively, the “</w:t>
      </w:r>
      <w:r>
        <w:rPr>
          <w:rFonts w:ascii="Times New Roman" w:cs="Times New Roman" w:eastAsia="Times New Roman" w:hAnsi="Times New Roman"/>
          <w:sz w:val="18"/>
          <w:szCs w:val="18"/>
          <w:b w:val="1"/>
          <w:bCs w:val="1"/>
          <w:i w:val="1"/>
          <w:iCs w:val="1"/>
          <w:color w:val="auto"/>
        </w:rPr>
        <w:t>Company Permits</w:t>
      </w:r>
      <w:r>
        <w:rPr>
          <w:rFonts w:ascii="Times New Roman" w:cs="Times New Roman" w:eastAsia="Times New Roman" w:hAnsi="Times New Roman"/>
          <w:sz w:val="18"/>
          <w:szCs w:val="18"/>
          <w:color w:val="auto"/>
        </w:rPr>
        <w:t xml:space="preserve">”). The Company has made available to the Purchaser true, correct and complete copies of all material Company Permits, all of which material Company Permits are listed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All of the Company Permits are in full force and effect, and no suspension or cancellation of any of the Company Permits is pending or threatened in writing, and none of the Company Permits will be terminated or impaired or become terminable as a result of the transactions contemplated hereby. No Target Company is in violation in any material respect of the terms of any Company Permit, and no Target Company has received any written notice of any Actions relating to the revocation or modification of any Company Permit.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00" w:right="240" w:firstLine="1294"/>
        <w:spacing w:after="0" w:line="266" w:lineRule="auto"/>
        <w:tabs>
          <w:tab w:leader="none" w:pos="164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on </w:t>
      </w:r>
      <w:r>
        <w:rPr>
          <w:rFonts w:ascii="Times New Roman" w:cs="Times New Roman" w:eastAsia="Times New Roman" w:hAnsi="Times New Roman"/>
          <w:sz w:val="18"/>
          <w:szCs w:val="18"/>
          <w:u w:val="single" w:color="auto"/>
          <w:color w:val="auto"/>
        </w:rPr>
        <w:t>Schedule 4.11</w:t>
      </w:r>
      <w:r>
        <w:rPr>
          <w:rFonts w:ascii="Times New Roman" w:cs="Times New Roman" w:eastAsia="Times New Roman" w:hAnsi="Times New Roman"/>
          <w:sz w:val="18"/>
          <w:szCs w:val="18"/>
          <w:color w:val="auto"/>
        </w:rPr>
        <w:t>, there is no (1) Action of any nature currently pending or threatened in writing (and no such Action has been brought or threatened in writing in the past five (5) years); or (2) Order now pending or outstanding or that was rendered by a Governmental Authority in the past five (5) years, in either case of (1) or (2):</w:t>
      </w:r>
    </w:p>
    <w:p>
      <w:pPr>
        <w:spacing w:after="0" w:line="108" w:lineRule="exact"/>
        <w:rPr>
          <w:rFonts w:ascii="Times New Roman" w:cs="Times New Roman" w:eastAsia="Times New Roman" w:hAnsi="Times New Roman"/>
          <w:sz w:val="18"/>
          <w:szCs w:val="18"/>
          <w:color w:val="auto"/>
        </w:rPr>
      </w:pPr>
    </w:p>
    <w:p>
      <w:pPr>
        <w:ind w:right="20" w:firstLine="1952"/>
        <w:spacing w:after="0" w:line="266" w:lineRule="auto"/>
        <w:tabs>
          <w:tab w:leader="none" w:pos="215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against any Target Company (other than the Company), its directors or officers (provided, that any litigation involving the directors or officers of a Target Company must be related to the Target Company’s business, equity securities or assets), its business, equity securities or assets; or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34" w:name="page235"/>
    <w:bookmarkEnd w:id="234"/>
    <w:p>
      <w:pPr>
        <w:jc w:val="both"/>
        <w:ind w:right="320" w:firstLine="1952"/>
        <w:spacing w:after="0" w:line="266" w:lineRule="auto"/>
        <w:tabs>
          <w:tab w:leader="none" w:pos="2209"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or against the Company, its directors or officers (provided, that any litigation involving the directors or officers of the Company must be related to the Company’s business, equity securities or assets), its business, equity securities or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solely with respect to periods prior to February 12, 2021, this clause (ii) shall be limited to matters within the Knowledge of the Company.</w:t>
      </w:r>
    </w:p>
    <w:p>
      <w:pPr>
        <w:spacing w:after="0" w:line="94" w:lineRule="exact"/>
        <w:rPr>
          <w:rFonts w:ascii="Times New Roman" w:cs="Times New Roman" w:eastAsia="Times New Roman" w:hAnsi="Times New Roman"/>
          <w:sz w:val="18"/>
          <w:szCs w:val="18"/>
          <w:color w:val="auto"/>
        </w:rPr>
      </w:pPr>
    </w:p>
    <w:p>
      <w:pPr>
        <w:ind w:left="100" w:right="220" w:firstLine="1294"/>
        <w:spacing w:after="0" w:line="261" w:lineRule="auto"/>
        <w:tabs>
          <w:tab w:leader="none" w:pos="164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items listed on </w:t>
      </w:r>
      <w:r>
        <w:rPr>
          <w:rFonts w:ascii="Times New Roman" w:cs="Times New Roman" w:eastAsia="Times New Roman" w:hAnsi="Times New Roman"/>
          <w:sz w:val="18"/>
          <w:szCs w:val="18"/>
          <w:u w:val="single" w:color="auto"/>
          <w:color w:val="auto"/>
        </w:rPr>
        <w:t>Schedule 4.11</w:t>
      </w:r>
      <w:r>
        <w:rPr>
          <w:rFonts w:ascii="Times New Roman" w:cs="Times New Roman" w:eastAsia="Times New Roman" w:hAnsi="Times New Roman"/>
          <w:sz w:val="18"/>
          <w:szCs w:val="18"/>
          <w:color w:val="auto"/>
        </w:rPr>
        <w:t>, if finally determined adversely to the Target Companies, will not have, either individually or in the aggregate, a Material Adverse Effect upon the Target Companies taken as a whole. In the past five (5) years, none of the current officers, senior management or directors of any Target Company have been charged with, indicted for, arrested for, or convicted of any felony or any crime involving fraud.</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304"/>
        <w:spacing w:after="0" w:line="266" w:lineRule="auto"/>
        <w:tabs>
          <w:tab w:leader="none" w:pos="1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4.12(a)</w:t>
      </w:r>
      <w:r>
        <w:rPr>
          <w:rFonts w:ascii="Times New Roman" w:cs="Times New Roman" w:eastAsia="Times New Roman" w:hAnsi="Times New Roman"/>
          <w:sz w:val="18"/>
          <w:szCs w:val="18"/>
          <w:color w:val="auto"/>
        </w:rPr>
        <w:t xml:space="preserve"> sets forth a true, correct and complete list of, and the Company has made available to the Purchaser, true, correct and complete copies of, each Contract to which any Target Company is a party or by which any Target Company, or any of its properties or assets are bound or affected (each Contract required to be set forth on </w:t>
      </w:r>
      <w:r>
        <w:rPr>
          <w:rFonts w:ascii="Times New Roman" w:cs="Times New Roman" w:eastAsia="Times New Roman" w:hAnsi="Times New Roman"/>
          <w:sz w:val="18"/>
          <w:szCs w:val="18"/>
          <w:u w:val="single" w:color="auto"/>
          <w:color w:val="auto"/>
        </w:rPr>
        <w:t>Schedule 4.12(a)</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Company Material Contract</w:t>
      </w:r>
      <w:r>
        <w:rPr>
          <w:rFonts w:ascii="Times New Roman" w:cs="Times New Roman" w:eastAsia="Times New Roman" w:hAnsi="Times New Roman"/>
          <w:sz w:val="18"/>
          <w:szCs w:val="18"/>
          <w:color w:val="auto"/>
        </w:rPr>
        <w:t>”) that:</w:t>
      </w:r>
    </w:p>
    <w:p>
      <w:pPr>
        <w:spacing w:after="0" w:line="94" w:lineRule="exact"/>
        <w:rPr>
          <w:rFonts w:ascii="Times New Roman" w:cs="Times New Roman" w:eastAsia="Times New Roman" w:hAnsi="Times New Roman"/>
          <w:sz w:val="18"/>
          <w:szCs w:val="18"/>
          <w:color w:val="auto"/>
        </w:rPr>
      </w:pPr>
    </w:p>
    <w:p>
      <w:pPr>
        <w:ind w:right="20" w:firstLine="1952"/>
        <w:spacing w:after="0" w:line="261" w:lineRule="auto"/>
        <w:tabs>
          <w:tab w:leader="none" w:pos="215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covenants that limit the ability of any Target Company (A) to compete in any line of business or with any Person or in any geographic area or to sell, or provide any service or product or solicit any Person, including any non-competition covenants, employee and customer non-solicit covenants, exclusivity restrictions, rights of first refusal or most-favored pricing clauses or (B) to purchase or acquire an interest in any other Person;</w:t>
      </w:r>
    </w:p>
    <w:p>
      <w:pPr>
        <w:spacing w:after="0" w:line="112" w:lineRule="exact"/>
        <w:rPr>
          <w:rFonts w:ascii="Times New Roman" w:cs="Times New Roman" w:eastAsia="Times New Roman" w:hAnsi="Times New Roman"/>
          <w:sz w:val="18"/>
          <w:szCs w:val="18"/>
          <w:color w:val="auto"/>
        </w:rPr>
      </w:pPr>
    </w:p>
    <w:p>
      <w:pPr>
        <w:ind w:right="160" w:firstLine="1952"/>
        <w:spacing w:after="0" w:line="282" w:lineRule="auto"/>
        <w:tabs>
          <w:tab w:leader="none" w:pos="220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any joint venture, profit-sharing, partnership, limited liability company or other similar agreement or arrangement relating to the formation, creation, operation, management or control of any partnership or joint venture;</w:t>
      </w:r>
    </w:p>
    <w:p>
      <w:pPr>
        <w:spacing w:after="0" w:line="94" w:lineRule="exact"/>
        <w:rPr>
          <w:rFonts w:ascii="Times New Roman" w:cs="Times New Roman" w:eastAsia="Times New Roman" w:hAnsi="Times New Roman"/>
          <w:sz w:val="18"/>
          <w:szCs w:val="18"/>
          <w:color w:val="auto"/>
        </w:rPr>
      </w:pPr>
    </w:p>
    <w:p>
      <w:pPr>
        <w:ind w:right="20" w:firstLine="1952"/>
        <w:spacing w:after="0" w:line="266" w:lineRule="auto"/>
        <w:tabs>
          <w:tab w:leader="none" w:pos="225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any exchange traded, over the counter or other swap, cap, floor, collar, futures contract, forward contract, option or other derivative financial instrument or Contract, based on any commodity, security, instrument, asset, rate or index of any kind or nature whatsoever, whether tangible or intangible, including currencies, interest rates, foreign currency and indices;</w:t>
      </w:r>
    </w:p>
    <w:p>
      <w:pPr>
        <w:spacing w:after="0" w:line="94" w:lineRule="exact"/>
        <w:rPr>
          <w:rFonts w:ascii="Times New Roman" w:cs="Times New Roman" w:eastAsia="Times New Roman" w:hAnsi="Times New Roman"/>
          <w:sz w:val="18"/>
          <w:szCs w:val="18"/>
          <w:color w:val="auto"/>
        </w:rPr>
      </w:pPr>
    </w:p>
    <w:p>
      <w:pPr>
        <w:ind w:right="80" w:firstLine="1952"/>
        <w:spacing w:after="0" w:line="282" w:lineRule="auto"/>
        <w:tabs>
          <w:tab w:leader="none" w:pos="224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Indebtedness (whether incurred, assumed, guaranteed or secured by any asset) of any Target Company having an outstanding principal amount in excess of $200,000;</w:t>
      </w:r>
    </w:p>
    <w:p>
      <w:pPr>
        <w:spacing w:after="0" w:line="94" w:lineRule="exact"/>
        <w:rPr>
          <w:rFonts w:ascii="Times New Roman" w:cs="Times New Roman" w:eastAsia="Times New Roman" w:hAnsi="Times New Roman"/>
          <w:sz w:val="18"/>
          <w:szCs w:val="18"/>
          <w:color w:val="auto"/>
        </w:rPr>
      </w:pPr>
    </w:p>
    <w:p>
      <w:pPr>
        <w:ind w:right="20" w:firstLine="1952"/>
        <w:spacing w:after="0" w:line="266" w:lineRule="auto"/>
        <w:tabs>
          <w:tab w:leader="none" w:pos="219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acquisition or disposition, directly or indirectly (by merger or otherwise), of assets with an aggregate value in excess of $200,000 (other than in the ordinary course of business consistent with past practice) or shares or other equity interests of any Target Company or another Person;</w:t>
      </w:r>
    </w:p>
    <w:p>
      <w:pPr>
        <w:spacing w:after="0" w:line="108" w:lineRule="exact"/>
        <w:rPr>
          <w:rFonts w:ascii="Times New Roman" w:cs="Times New Roman" w:eastAsia="Times New Roman" w:hAnsi="Times New Roman"/>
          <w:sz w:val="18"/>
          <w:szCs w:val="18"/>
          <w:color w:val="auto"/>
        </w:rPr>
      </w:pPr>
    </w:p>
    <w:p>
      <w:pPr>
        <w:ind w:right="60" w:firstLine="1952"/>
        <w:spacing w:after="0" w:line="282" w:lineRule="auto"/>
        <w:tabs>
          <w:tab w:leader="none" w:pos="224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any merger, consolidation or other business combination with any other Person or the acquisition or disposition of any other entity or its business or material assets or the sale of any Target Company, its business or material assets;</w:t>
      </w:r>
    </w:p>
    <w:p>
      <w:pPr>
        <w:spacing w:after="0" w:line="80" w:lineRule="exact"/>
        <w:rPr>
          <w:rFonts w:ascii="Times New Roman" w:cs="Times New Roman" w:eastAsia="Times New Roman" w:hAnsi="Times New Roman"/>
          <w:sz w:val="18"/>
          <w:szCs w:val="18"/>
          <w:color w:val="auto"/>
        </w:rPr>
      </w:pPr>
    </w:p>
    <w:p>
      <w:pPr>
        <w:ind w:right="260" w:firstLine="1952"/>
        <w:spacing w:after="0" w:line="282" w:lineRule="auto"/>
        <w:tabs>
          <w:tab w:leader="none" w:pos="229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terms, individually or with all related Contracts, calls for aggregate payments or receipts by the Target Companies under such Contract or Contracts of at least $200,000 per year or $500,000 in the aggregate;</w:t>
      </w:r>
    </w:p>
    <w:p>
      <w:pPr>
        <w:spacing w:after="0" w:line="94"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with any Top Supplier;</w:t>
      </w:r>
    </w:p>
    <w:p>
      <w:pPr>
        <w:spacing w:after="0" w:line="157" w:lineRule="exact"/>
        <w:rPr>
          <w:rFonts w:ascii="Times New Roman" w:cs="Times New Roman" w:eastAsia="Times New Roman" w:hAnsi="Times New Roman"/>
          <w:sz w:val="18"/>
          <w:szCs w:val="18"/>
          <w:color w:val="auto"/>
        </w:rPr>
      </w:pPr>
    </w:p>
    <w:p>
      <w:pPr>
        <w:ind w:right="60" w:firstLine="1952"/>
        <w:spacing w:after="0" w:line="282" w:lineRule="auto"/>
        <w:tabs>
          <w:tab w:leader="none" w:pos="224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obligates the Target Companies to provide continuing indemnification or a guarantee of obligations of a third party after the date hereof in excess of $200,000;</w:t>
      </w:r>
    </w:p>
    <w:p>
      <w:pPr>
        <w:spacing w:after="0" w:line="80" w:lineRule="exact"/>
        <w:rPr>
          <w:rFonts w:ascii="Times New Roman" w:cs="Times New Roman" w:eastAsia="Times New Roman" w:hAnsi="Times New Roman"/>
          <w:sz w:val="18"/>
          <w:szCs w:val="18"/>
          <w:color w:val="auto"/>
        </w:rPr>
      </w:pPr>
    </w:p>
    <w:p>
      <w:pPr>
        <w:ind w:right="340" w:firstLine="1952"/>
        <w:spacing w:after="0" w:line="266" w:lineRule="auto"/>
        <w:tabs>
          <w:tab w:leader="none" w:pos="219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between any Target Company and any directors, officers or employees of a Target Company (other than at-will employment arrangements with employees entered into in the ordinary course of business consistent with past practice), including all non-competition, severance and indemnification agreements, or any Related Person;</w:t>
      </w:r>
    </w:p>
    <w:p>
      <w:pPr>
        <w:spacing w:after="0" w:line="108"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obligates the Target Companies to make any capital commitment or expenditure in excess of $200,000 (including pursuant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joint venture);</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35" w:name="page236"/>
    <w:bookmarkEnd w:id="235"/>
    <w:p>
      <w:pPr>
        <w:ind w:right="260" w:firstLine="1952"/>
        <w:spacing w:after="0" w:line="282" w:lineRule="auto"/>
        <w:tabs>
          <w:tab w:leader="none" w:pos="229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material settlement entered into within three (3) years prior to the date of this Agreement or under which any Target Company has outstanding obligations (other than customary confidentiality obligations);</w:t>
      </w:r>
    </w:p>
    <w:p>
      <w:pPr>
        <w:spacing w:after="0" w:line="80"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another Person (other than another Target Company or any manager, director or officer of any Target Company)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power of attorney;</w:t>
      </w:r>
    </w:p>
    <w:p>
      <w:pPr>
        <w:spacing w:after="0" w:line="139" w:lineRule="exact"/>
        <w:rPr>
          <w:rFonts w:ascii="Times New Roman" w:cs="Times New Roman" w:eastAsia="Times New Roman" w:hAnsi="Times New Roman"/>
          <w:sz w:val="18"/>
          <w:szCs w:val="18"/>
          <w:color w:val="auto"/>
        </w:rPr>
      </w:pPr>
    </w:p>
    <w:p>
      <w:pPr>
        <w:ind w:right="440" w:firstLine="1952"/>
        <w:spacing w:after="0" w:line="282" w:lineRule="auto"/>
        <w:tabs>
          <w:tab w:leader="none" w:pos="233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development, ownership, licensing or use of any material Intellectual Property by, to or from any Target Company, other than Off-the-Shelf Software;</w:t>
      </w:r>
    </w:p>
    <w:p>
      <w:pPr>
        <w:spacing w:after="0" w:line="94" w:lineRule="exact"/>
        <w:rPr>
          <w:rFonts w:ascii="Times New Roman" w:cs="Times New Roman" w:eastAsia="Times New Roman" w:hAnsi="Times New Roman"/>
          <w:sz w:val="18"/>
          <w:szCs w:val="18"/>
          <w:color w:val="auto"/>
        </w:rPr>
      </w:pPr>
    </w:p>
    <w:p>
      <w:pPr>
        <w:ind w:right="120" w:firstLine="1952"/>
        <w:spacing w:after="0" w:line="266" w:lineRule="auto"/>
        <w:tabs>
          <w:tab w:leader="none" w:pos="228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will be required to be filed with the Registration Statement under applicable SEC requirements or would otherwise be required to be filed by the Company as an exhibit for a Form S-1 pursuant to Items 601(b)(1), (2), (4), (9) or (10) of Regulation S-K under the Securities Act as if the Company was the registrant; or</w:t>
      </w:r>
    </w:p>
    <w:p>
      <w:pPr>
        <w:spacing w:after="0" w:line="94"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material to any Target Company and outside of the ordinary course of business and not described in clauses (i)</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(xv) above.</w:t>
      </w:r>
    </w:p>
    <w:p>
      <w:pPr>
        <w:spacing w:after="0" w:line="139" w:lineRule="exact"/>
        <w:rPr>
          <w:rFonts w:ascii="Times New Roman" w:cs="Times New Roman" w:eastAsia="Times New Roman" w:hAnsi="Times New Roman"/>
          <w:sz w:val="18"/>
          <w:szCs w:val="18"/>
          <w:color w:val="auto"/>
        </w:rPr>
      </w:pPr>
    </w:p>
    <w:p>
      <w:pPr>
        <w:ind w:right="80" w:firstLine="1304"/>
        <w:spacing w:after="0" w:line="253" w:lineRule="auto"/>
        <w:tabs>
          <w:tab w:leader="none" w:pos="155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Schedule 4.12(b)</w:t>
      </w:r>
      <w:r>
        <w:rPr>
          <w:rFonts w:ascii="Times New Roman" w:cs="Times New Roman" w:eastAsia="Times New Roman" w:hAnsi="Times New Roman"/>
          <w:sz w:val="18"/>
          <w:szCs w:val="18"/>
          <w:color w:val="auto"/>
        </w:rPr>
        <w:t>, with respect to each Company Material Contract: (i) such Company Material Contract is valid and binding and enforceable in all material respects against the Target Company party thereto and, to the Knowledge of the Company, each other party thereto, and is in full force and effect (except, in each case, as such enforcement may be limited by the Enforceability Exceptions); (ii) the consummation of the transactions contemplated by this Agreement will not affect the validity or enforceability of any Company Material Contract in any material respect; (iii) no Target Company is in breach or default in any material respect, and no event has occurred that with the passage of time or giving of notice or both would constitute a material breach or default by any Target Company, or permit termination or acceleration by the other party thereto, under such Company Material Contract; (iv) to the Knowledge of the Company, no other party to such Company Material Contract is in breach or default in any material respect, and no event has occurred that with the passage of time or giving of notice or both would constitute such a material breach or default by such other party, or permit termination or acceleration by any Target Company, under such Company Material Contract; (v) no Target Company has received written notice of an intention by any party to any such Company Material Contract that provides for a continuing obligation by any party thereto to terminate such Company Material Contract or amend the terms thereof, other than modifications in the ordinary course of business that do not adversely affect any Target Company in any material respect; and (vi) no Target Company has waived any material rights under any such Company Material Contract.</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firstLine="1304"/>
        <w:spacing w:after="0" w:line="252" w:lineRule="auto"/>
        <w:tabs>
          <w:tab w:leader="none" w:pos="1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4.13(a)(i)</w:t>
      </w:r>
      <w:r>
        <w:rPr>
          <w:rFonts w:ascii="Times New Roman" w:cs="Times New Roman" w:eastAsia="Times New Roman" w:hAnsi="Times New Roman"/>
          <w:sz w:val="18"/>
          <w:szCs w:val="18"/>
          <w:color w:val="auto"/>
        </w:rPr>
        <w:t xml:space="preserve"> sets forth: (i) all U.S. and foreign registered Patents, Trademarks, Copyrights and Internet Assets and applications owned by a Target Company or otherwise used or held for use by a Target Company in which a Target Company is the owner, applicant or assignee (“</w:t>
      </w:r>
      <w:r>
        <w:rPr>
          <w:rFonts w:ascii="Times New Roman" w:cs="Times New Roman" w:eastAsia="Times New Roman" w:hAnsi="Times New Roman"/>
          <w:sz w:val="18"/>
          <w:szCs w:val="18"/>
          <w:b w:val="1"/>
          <w:bCs w:val="1"/>
          <w:i w:val="1"/>
          <w:iCs w:val="1"/>
          <w:color w:val="auto"/>
        </w:rPr>
        <w:t>Company Registered IP</w:t>
      </w:r>
      <w:r>
        <w:rPr>
          <w:rFonts w:ascii="Times New Roman" w:cs="Times New Roman" w:eastAsia="Times New Roman" w:hAnsi="Times New Roman"/>
          <w:sz w:val="18"/>
          <w:szCs w:val="18"/>
          <w:color w:val="auto"/>
        </w:rPr>
        <w:t xml:space="preserve">”), specifying as to each item, as applicable: (A) the nature of the item, including the title, (B) the owner of the item, (C) the jurisdictions in which the item is issued or registered or in which an application for issuance or registration has been filed and (D) the issuance, registration or application numbers and dates; and (ii) all material unregistered Intellectual Property owned or purported to be owned by a Target Company.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4.13(a)(ii)</w:t>
      </w:r>
      <w:r>
        <w:rPr>
          <w:rFonts w:ascii="Times New Roman" w:cs="Times New Roman" w:eastAsia="Times New Roman" w:hAnsi="Times New Roman"/>
          <w:sz w:val="18"/>
          <w:szCs w:val="18"/>
          <w:color w:val="auto"/>
        </w:rPr>
        <w:t xml:space="preserve"> sets forth all Intellectual Property licenses, sublicenses and other agreements or permissions (“</w:t>
      </w:r>
      <w:r>
        <w:rPr>
          <w:rFonts w:ascii="Times New Roman" w:cs="Times New Roman" w:eastAsia="Times New Roman" w:hAnsi="Times New Roman"/>
          <w:sz w:val="18"/>
          <w:szCs w:val="18"/>
          <w:b w:val="1"/>
          <w:bCs w:val="1"/>
          <w:i w:val="1"/>
          <w:iCs w:val="1"/>
          <w:color w:val="auto"/>
        </w:rPr>
        <w:t>Company IP Licenses</w:t>
      </w:r>
      <w:r>
        <w:rPr>
          <w:rFonts w:ascii="Times New Roman" w:cs="Times New Roman" w:eastAsia="Times New Roman" w:hAnsi="Times New Roman"/>
          <w:sz w:val="18"/>
          <w:szCs w:val="18"/>
          <w:color w:val="auto"/>
        </w:rPr>
        <w:t>”) (other than “shrink wrap,” “click wrap,” and “off the shelf” software agreements and other agreements for Software commercially available on reasonable terms to the public generally with license, maintenance, support and other fees of less than $50,000 per year (collectively, “</w:t>
      </w:r>
      <w:r>
        <w:rPr>
          <w:rFonts w:ascii="Times New Roman" w:cs="Times New Roman" w:eastAsia="Times New Roman" w:hAnsi="Times New Roman"/>
          <w:sz w:val="18"/>
          <w:szCs w:val="18"/>
          <w:b w:val="1"/>
          <w:bCs w:val="1"/>
          <w:i w:val="1"/>
          <w:iCs w:val="1"/>
          <w:color w:val="auto"/>
        </w:rPr>
        <w:t>Off-the-Shelf Software</w:t>
      </w:r>
      <w:r>
        <w:rPr>
          <w:rFonts w:ascii="Times New Roman" w:cs="Times New Roman" w:eastAsia="Times New Roman" w:hAnsi="Times New Roman"/>
          <w:sz w:val="18"/>
          <w:szCs w:val="18"/>
          <w:color w:val="auto"/>
        </w:rPr>
        <w:t xml:space="preserve">”), which are not required to be listed, although such licenses are “Company IP Licenses” as that term is used herein), under which a Target Company is a licensee or otherwise is authorized to use or practice any Intellectual Property, and such Company IP Licenses describe all such Intellectual Property licenses under such Company IP Licenses. Each Target Company owns, free and clear of all Liens (other than Permitted Liens), has valid and enforceable rights in, and has the unrestricted right to use, sell, license, transfer or assign, all Intellectual Property currently used, licensed or held for use by such Target Company, except for the Intellectual Property that is the subject of the Company IP Licenses. To the Knowledge of the Company, no item of Company Registered IP that consists of a pending Patent application fails to identify all pertinent inventors, and for each Patent and Patent application in the Company Registered IP, the Target Companies have obtained valid assignments of inventions from each inventor and have been prepared without material defects in form or substance and are being prosecuted diligently in accordance with all duty of disclosure obligations. To the Knowledge of the Target Companies, all other Company Registered IP and material unregistered Intellectual Property owned or purported to be owned by a Target Company is valid and enforceable. Except as set forth on </w:t>
      </w:r>
      <w:r>
        <w:rPr>
          <w:rFonts w:ascii="Times New Roman" w:cs="Times New Roman" w:eastAsia="Times New Roman" w:hAnsi="Times New Roman"/>
          <w:sz w:val="18"/>
          <w:szCs w:val="18"/>
          <w:u w:val="single" w:color="auto"/>
          <w:color w:val="auto"/>
        </w:rPr>
        <w:t>Schedule 4.13(a)(iii)</w:t>
      </w:r>
      <w:r>
        <w:rPr>
          <w:rFonts w:ascii="Times New Roman" w:cs="Times New Roman" w:eastAsia="Times New Roman" w:hAnsi="Times New Roman"/>
          <w:sz w:val="18"/>
          <w:szCs w:val="18"/>
          <w:color w:val="auto"/>
        </w:rPr>
        <w:t>, all Company Registered IP is owned exclusively by the applicable Target Company without obligation to pay royalties, licensing fees or other fees, or otherwise account to any third party with respect to such Company Registered IP, and such Target Company has recorded assignments of all Company Registered IP.</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36" w:name="page237"/>
    <w:bookmarkEnd w:id="236"/>
    <w:p>
      <w:pPr>
        <w:ind w:left="-20" w:right="40" w:firstLine="1304"/>
        <w:spacing w:after="0" w:line="253" w:lineRule="auto"/>
        <w:tabs>
          <w:tab w:leader="none" w:pos="153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Target Company has a valid and enforceable license to use all Intellectual Property that is the subject of the Company IP Licenses applicable to such Target Company. To the Knowledge of the Company, the Company IP Licenses include all of the licenses, sublicenses and other agreements or permissions necessary to operate the Target Companies as presently conducted. Each Target Company has performed all obligations imposed on it in the Company IP Licenses, has made all payments required to date, and such Target Company is not, nor is any other party thereto, in breach or default thereunder, nor has any event occurred that with notice or lapse of time or both would constitute a default thereunder. The continued use by the Target Companies of the Intellectual Property that is the subject of the Company IP Licenses in the same manner that it is currently being used is not restricted by any applicable license of any Target Company other than by any applicable terms regarding term and renewal of such licenses. All registrations for Copyrights, Patents, Trademarks and Internet Assets that are owned by or exclusively licensed to any Target Company are valid, in force and in good standing with all required fees and maintenance fees having been paid with no Actions pending, and all current applications to register any Copyrights, Patents and Trademarks are pending and in good standing, and being diligently prosecuted, all without challenge of any kind other than office actions or similar administrative refusals in the ordinary course of seeking governmental recognition of such rights. No Target Company is party to any Contract that requires a Target Company to assign to any Person all of its rights in any Intellectual Property developed by a Target Company under such Contract.</w:t>
      </w:r>
    </w:p>
    <w:p>
      <w:pPr>
        <w:spacing w:after="0" w:line="106" w:lineRule="exact"/>
        <w:rPr>
          <w:rFonts w:ascii="Times New Roman" w:cs="Times New Roman" w:eastAsia="Times New Roman" w:hAnsi="Times New Roman"/>
          <w:sz w:val="18"/>
          <w:szCs w:val="18"/>
          <w:color w:val="auto"/>
        </w:rPr>
      </w:pPr>
    </w:p>
    <w:p>
      <w:pPr>
        <w:ind w:left="-20" w:right="180" w:firstLine="1304"/>
        <w:spacing w:after="0" w:line="261" w:lineRule="auto"/>
        <w:tabs>
          <w:tab w:leader="none" w:pos="15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4.13(c)</w:t>
      </w:r>
      <w:r>
        <w:rPr>
          <w:rFonts w:ascii="Times New Roman" w:cs="Times New Roman" w:eastAsia="Times New Roman" w:hAnsi="Times New Roman"/>
          <w:sz w:val="18"/>
          <w:szCs w:val="18"/>
          <w:color w:val="auto"/>
        </w:rPr>
        <w:t xml:space="preserve"> sets forth all licenses, sublicenses and other agreements or permissions under which a Target Company is the licensor (each, an “</w:t>
      </w:r>
      <w:r>
        <w:rPr>
          <w:rFonts w:ascii="Times New Roman" w:cs="Times New Roman" w:eastAsia="Times New Roman" w:hAnsi="Times New Roman"/>
          <w:sz w:val="18"/>
          <w:szCs w:val="18"/>
          <w:b w:val="1"/>
          <w:bCs w:val="1"/>
          <w:i w:val="1"/>
          <w:iCs w:val="1"/>
          <w:color w:val="auto"/>
        </w:rPr>
        <w:t>Outbound IP License</w:t>
      </w:r>
      <w:r>
        <w:rPr>
          <w:rFonts w:ascii="Times New Roman" w:cs="Times New Roman" w:eastAsia="Times New Roman" w:hAnsi="Times New Roman"/>
          <w:sz w:val="18"/>
          <w:szCs w:val="18"/>
          <w:color w:val="auto"/>
        </w:rPr>
        <w:t>”). Each Target Company has performed all obligations imposed on it in the Outbound IP Licenses, and such Target Company is not, nor, to the Knowledge of the Company, is any other party thereto, in breach or default thereunder, nor has any event occurred that with notice or lapse of time or both would constitute a default thereunder.</w:t>
      </w:r>
    </w:p>
    <w:p>
      <w:pPr>
        <w:spacing w:after="0" w:line="112" w:lineRule="exact"/>
        <w:rPr>
          <w:rFonts w:ascii="Times New Roman" w:cs="Times New Roman" w:eastAsia="Times New Roman" w:hAnsi="Times New Roman"/>
          <w:sz w:val="18"/>
          <w:szCs w:val="18"/>
          <w:color w:val="auto"/>
        </w:rPr>
      </w:pPr>
    </w:p>
    <w:p>
      <w:pPr>
        <w:ind w:left="-20" w:firstLine="1304"/>
        <w:spacing w:after="0" w:line="252" w:lineRule="auto"/>
        <w:tabs>
          <w:tab w:leader="none" w:pos="153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is pending or threatened in writing against a Target Company that challenges the validity, enforceability, ownership, or right to use, sell, license or sublicense, or that otherwise relates to, any Intellectual Property currently owned by or licensed to the Target Companies, nor, to the Knowledge of the Company, is there any reasonable basis for any such Action. No Target Company has received any written notice or claim asserting or suggesting that any infringement, misappropriation, violation, dilution or unauthorized use of the Intellectual Property of any other Person is or may be occurring or has or may have occurred, as a consequence of the business activities of any Target Company, nor to the Knowledge of the Company is there a reasonable basis therefor. There are no Orders to which any Target Company is a party or its otherwise bound that (i) restrict the rights of a Target Company to use, transfer, license or enforce any Intellectual Property owned by a Target Company, (ii) restrict the conduct of the business of a Target Company in order to accommodate a third Person’s Intellectual Property, or (iii) other than any applicable Outbound IP Licenses, grant any third Person any right with respect to any Intellectual Property owned by a Target Company. To the Knowledge of the Company, no Target Company is currently or will be infringing, or has, in the past, infringed, misappropriated or violated any Intellectual Property of any other Person in connection with operating the business of any Target Company as presently conducted or contemplated to be conducted or in connection with the ownership, use or license of any Intellectual Property owned or purported to be owned by a Target Company or, to the Knowledge of the Company, otherwise in connection with the conduct of the respective businesses of the Target Companies. To the Company’s Knowledge, no third party is currently, or in the past five (5) years has been, infringing upon, misappropriating or otherwise violating any Intellectual Property owned, licensed by, licensed to, or otherwise used or held for use by any Target Company (“</w:t>
      </w:r>
      <w:r>
        <w:rPr>
          <w:rFonts w:ascii="Times New Roman" w:cs="Times New Roman" w:eastAsia="Times New Roman" w:hAnsi="Times New Roman"/>
          <w:sz w:val="18"/>
          <w:szCs w:val="18"/>
          <w:b w:val="1"/>
          <w:bCs w:val="1"/>
          <w:i w:val="1"/>
          <w:iCs w:val="1"/>
          <w:color w:val="auto"/>
        </w:rPr>
        <w:t>Company IP</w:t>
      </w:r>
      <w:r>
        <w:rPr>
          <w:rFonts w:ascii="Times New Roman" w:cs="Times New Roman" w:eastAsia="Times New Roman" w:hAnsi="Times New Roman"/>
          <w:sz w:val="18"/>
          <w:szCs w:val="18"/>
          <w:color w:val="auto"/>
        </w:rPr>
        <w:t>”) in any material respect.</w:t>
      </w:r>
    </w:p>
    <w:p>
      <w:pPr>
        <w:spacing w:after="0" w:line="128" w:lineRule="exact"/>
        <w:rPr>
          <w:rFonts w:ascii="Times New Roman" w:cs="Times New Roman" w:eastAsia="Times New Roman" w:hAnsi="Times New Roman"/>
          <w:sz w:val="18"/>
          <w:szCs w:val="18"/>
          <w:color w:val="auto"/>
        </w:rPr>
      </w:pPr>
    </w:p>
    <w:p>
      <w:pPr>
        <w:ind w:left="-20" w:right="20" w:firstLine="1304"/>
        <w:spacing w:after="0" w:line="253" w:lineRule="auto"/>
        <w:tabs>
          <w:tab w:leader="none" w:pos="152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4.13(e)</w:t>
      </w:r>
      <w:r>
        <w:rPr>
          <w:rFonts w:ascii="Times New Roman" w:cs="Times New Roman" w:eastAsia="Times New Roman" w:hAnsi="Times New Roman"/>
          <w:sz w:val="18"/>
          <w:szCs w:val="18"/>
          <w:color w:val="auto"/>
        </w:rPr>
        <w:t>, all officers, directors, employees and independent contractors of a Target Company (and each of their respective Affiliates) are obligated to assign and have assigned to the Target Companies all Intellectual Property arising from the services performed for a Target Company by such Persons and all such assignments of Company Registered IP have been recorded. No current or former officers, employees or independent contractors of a Target Company have claimed any ownership interest in any Intellectual Property owned by a Target Company. To the Knowledge of the Company, there has been no violation of a Target Company’s policies or practices related to protection of Company IP or any confidentiality or nondisclosure Contract relating to the Intellectual Property owned by a Target Company. The Company has made available to the Purchaser true and complete copies of all written Contracts referenced in subsections under which employees and independent contractors assigned their Intellectual Property to a Target Company. To the Company’s Knowledge, none of the employees of any Target Company is obligated under any Contract, or subject to any Order, that would materially interfere with the use of such employee’s best efforts to promote the interests of the Target Companies, or that would materially conflict with the business of any Target Company as presently conducted or contemplated to be conducted. Each Target Company has taken reasonable security measures in order to protect the secrecy, confidentiality and value of the material Company IP.</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237" w:name="page238"/>
    <w:bookmarkEnd w:id="237"/>
    <w:p>
      <w:pPr>
        <w:ind w:left="-20" w:firstLine="1304"/>
        <w:spacing w:after="0" w:line="255" w:lineRule="auto"/>
        <w:tabs>
          <w:tab w:leader="none" w:pos="149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Person has obtained unauthorized access to material third party information and data (including personally identifiable information) in the possession of a Target Company, nor has there been any other material compromise of the security, confidentiality or integrity of such information or data, and no written complaint relating to an improper use or disclosure of, or a breach in the security of, any such information or data has been received by a Target Company. Each Target Company has complied in all material respects with all applicable Laws and Contract requirements relating to privacy, personal data protection, and the collection, processing and use of personal information and its own privacy policies and guidelines. The operation of the business of the Target Companies has not and does not violate any right to privacy or publicity of any third person, or constitute unfair competition or trade practices under applicable Law.</w:t>
      </w:r>
    </w:p>
    <w:p>
      <w:pPr>
        <w:spacing w:after="0" w:line="107" w:lineRule="exact"/>
        <w:rPr>
          <w:rFonts w:ascii="Times New Roman" w:cs="Times New Roman" w:eastAsia="Times New Roman" w:hAnsi="Times New Roman"/>
          <w:sz w:val="18"/>
          <w:szCs w:val="18"/>
          <w:color w:val="auto"/>
        </w:rPr>
      </w:pPr>
    </w:p>
    <w:p>
      <w:pPr>
        <w:ind w:left="-20" w:right="100" w:firstLine="1304"/>
        <w:spacing w:after="0" w:line="255" w:lineRule="auto"/>
        <w:tabs>
          <w:tab w:leader="none" w:pos="152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of the transactions contemplated by this Agreement will not result in the material breach, material modification, material cancellation, material termination, material suspension of, or material acceleration of any payments with respect to, or release of source code because of (i) any Contract providing for the license or other use of Intellectual Property owned by a Target Company, or (ii) any Company IP License. Immediately following the Closing, the Company shall be permitted to exercise, directly or indirectly through its Subsidiaries, all of the Target Companies’ rights under such Contracts or Company IP Licenses to the same extent that the Target Companies would have been able to exercise had the transactions contemplated by this Agreement not occurred, without the payment of any additional amounts or consideration other than ongoing fees, royalties or payments which the Target Companies would otherwise be required to pay in the absence of such transactions.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Taxes and Returns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20" w:right="20" w:firstLine="1304"/>
        <w:spacing w:after="0" w:line="261" w:lineRule="auto"/>
        <w:tabs>
          <w:tab w:leader="none" w:pos="152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Target Company has or will have filed, or caused to be filed, all material federal, state, local and foreign Tax Returns required to be filed by it (taking into account all available extensions), which Tax Returns are true, accurate, correct and complete in all material respects, and has paid, collected or withheld, or caused to be paid, collected or withheld, all material Taxes required to be paid, collected or withheld, other than such Taxes for which adequate reserves in the Company Financials have been established.</w:t>
      </w:r>
    </w:p>
    <w:p>
      <w:pPr>
        <w:spacing w:after="0" w:line="98" w:lineRule="exact"/>
        <w:rPr>
          <w:rFonts w:ascii="Times New Roman" w:cs="Times New Roman" w:eastAsia="Times New Roman" w:hAnsi="Times New Roman"/>
          <w:sz w:val="18"/>
          <w:szCs w:val="18"/>
          <w:color w:val="auto"/>
        </w:rPr>
      </w:pPr>
    </w:p>
    <w:p>
      <w:pPr>
        <w:ind w:left="-20" w:right="240" w:firstLine="1304"/>
        <w:spacing w:after="0" w:line="282" w:lineRule="auto"/>
        <w:tabs>
          <w:tab w:leader="none" w:pos="152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Action currently pending or threatened in writing against a Target Company by a Governmental Authority in a jurisdiction where the Target Company does not file Tax Returns that it is subject to taxation by that jurisdiction.</w:t>
      </w:r>
    </w:p>
    <w:p>
      <w:pPr>
        <w:spacing w:after="0" w:line="94" w:lineRule="exact"/>
        <w:rPr>
          <w:rFonts w:ascii="Times New Roman" w:cs="Times New Roman" w:eastAsia="Times New Roman" w:hAnsi="Times New Roman"/>
          <w:sz w:val="18"/>
          <w:szCs w:val="18"/>
          <w:color w:val="auto"/>
        </w:rPr>
      </w:pPr>
    </w:p>
    <w:p>
      <w:pPr>
        <w:ind w:left="-20" w:right="20" w:firstLine="1304"/>
        <w:spacing w:after="0" w:line="261" w:lineRule="auto"/>
        <w:tabs>
          <w:tab w:leader="none" w:pos="152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is being audited by any Tax authority or has been notified in writing by any Tax authority that any such audit is contemplated or pending. There are no formal claims, assessments, audits, examinations, investigations or other Actions pending against a Target Company in respect of any Tax, and no Target Company has been notified in writing of any proposed Tax claims or assessments against it (other than, in each case, claims or assessments for which adequate reserves in the Company Financials have been established).</w:t>
      </w:r>
    </w:p>
    <w:p>
      <w:pPr>
        <w:spacing w:after="0" w:line="112"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Liens with respect to any Taxes upon any Target Company’s assets, other than Permitted Liens.</w:t>
      </w:r>
    </w:p>
    <w:p>
      <w:pPr>
        <w:spacing w:after="0" w:line="144" w:lineRule="exact"/>
        <w:rPr>
          <w:rFonts w:ascii="Times New Roman" w:cs="Times New Roman" w:eastAsia="Times New Roman" w:hAnsi="Times New Roman"/>
          <w:sz w:val="18"/>
          <w:szCs w:val="18"/>
          <w:color w:val="auto"/>
        </w:rPr>
      </w:pPr>
    </w:p>
    <w:p>
      <w:pPr>
        <w:ind w:left="-20" w:right="300" w:firstLine="1304"/>
        <w:spacing w:after="0" w:line="282" w:lineRule="auto"/>
        <w:tabs>
          <w:tab w:leader="none" w:pos="152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Target Company has collected or withheld all material Taxes currently required to be collected or withheld by it, and all such Taxes have been paid to the appropriate Governmental Authorities or set aside in appropriate accounts for future payment when due.</w:t>
      </w:r>
    </w:p>
    <w:p>
      <w:pPr>
        <w:spacing w:after="0" w:line="94" w:lineRule="exact"/>
        <w:rPr>
          <w:rFonts w:ascii="Times New Roman" w:cs="Times New Roman" w:eastAsia="Times New Roman" w:hAnsi="Times New Roman"/>
          <w:sz w:val="18"/>
          <w:szCs w:val="18"/>
          <w:color w:val="auto"/>
        </w:rPr>
      </w:pPr>
    </w:p>
    <w:p>
      <w:pPr>
        <w:ind w:left="-20" w:right="100" w:firstLine="1304"/>
        <w:spacing w:after="0" w:line="266" w:lineRule="auto"/>
        <w:tabs>
          <w:tab w:leader="none" w:pos="150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has any outstanding waivers or extensions of any applicable statute of limitations to assess any amount of Taxes. There are no outstanding requests by a Target Company for any extension of time within which to file any Tax Return or within which to pay any Taxes shown to be due on any Tax Return.</w:t>
      </w:r>
    </w:p>
    <w:p>
      <w:pPr>
        <w:spacing w:after="0" w:line="108"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53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has made any change in accounting method (except as required by a change in Law) or received a ruling from, or signed an agreement with, any taxing authority that would reasonably be expected to have a material impact on its Taxes following the Closing.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238" w:name="page239"/>
    <w:bookmarkEnd w:id="238"/>
    <w:p>
      <w:pPr>
        <w:ind w:right="220" w:firstLine="1304"/>
        <w:spacing w:after="0" w:line="282" w:lineRule="auto"/>
        <w:tabs>
          <w:tab w:leader="none" w:pos="155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has participated in, or sold, distributed or otherwise promoted, any “reportable transaction,” as defined in U.S. Treasury Regulation section 1.6011-4.</w:t>
      </w:r>
    </w:p>
    <w:p>
      <w:pPr>
        <w:spacing w:after="0" w:line="80" w:lineRule="exact"/>
        <w:rPr>
          <w:rFonts w:ascii="Times New Roman" w:cs="Times New Roman" w:eastAsia="Times New Roman" w:hAnsi="Times New Roman"/>
          <w:sz w:val="18"/>
          <w:szCs w:val="18"/>
          <w:color w:val="auto"/>
        </w:rPr>
      </w:pPr>
    </w:p>
    <w:p>
      <w:pPr>
        <w:ind w:firstLine="1304"/>
        <w:spacing w:after="0" w:line="254" w:lineRule="auto"/>
        <w:tabs>
          <w:tab w:leader="none" w:pos="151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has any material Liability or potential material Liability for the Taxes of another Person (other than another Target Company) that are not adequately reflected in the Company Financials (i) under any applicable Tax Law, (ii) as a transferee or successor, or (iii) by contract, indemnity or otherwise (excluding commercial agreements entered into in the ordinary course of business the primary purpose of which is not the sharing of Taxes). No Target Company is a party to or bound by any Tax indemnity agreement, Tax sharing agreement or Tax allocation agreement or similar agreement, arrangement or practice (excluding commercial agreements entered into in the ordinary course of business the primary purpose of which is not the sharing of Taxes or with another Target Company) with respect to Taxes (including advance pricing agreement, closing agreement or other agreement relating to Taxes with any Governmental Authority) that will be binding on any Target Company with respect to any period following the Closing Date.</w:t>
      </w:r>
    </w:p>
    <w:p>
      <w:pPr>
        <w:spacing w:after="0" w:line="124" w:lineRule="exact"/>
        <w:rPr>
          <w:rFonts w:ascii="Times New Roman" w:cs="Times New Roman" w:eastAsia="Times New Roman" w:hAnsi="Times New Roman"/>
          <w:sz w:val="18"/>
          <w:szCs w:val="18"/>
          <w:color w:val="auto"/>
        </w:rPr>
      </w:pPr>
    </w:p>
    <w:p>
      <w:pPr>
        <w:ind w:right="140" w:firstLine="1304"/>
        <w:spacing w:after="0" w:line="312" w:lineRule="auto"/>
        <w:tabs>
          <w:tab w:leader="none" w:pos="1511"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Target Company has requested, or is the subject of or bound by any private letter ruling, technical advice memorandum, closing agreement or similar ruling, memorandum or agreement with any Governmental Authority with respect to any Taxes, nor is any such request outstanding.</w:t>
      </w:r>
    </w:p>
    <w:p>
      <w:pPr>
        <w:spacing w:after="0" w:line="72" w:lineRule="exact"/>
        <w:rPr>
          <w:rFonts w:ascii="Times New Roman" w:cs="Times New Roman" w:eastAsia="Times New Roman" w:hAnsi="Times New Roman"/>
          <w:sz w:val="17"/>
          <w:szCs w:val="17"/>
          <w:color w:val="auto"/>
        </w:rPr>
      </w:pPr>
    </w:p>
    <w:p>
      <w:pPr>
        <w:ind w:right="200" w:firstLine="1304"/>
        <w:spacing w:after="0" w:line="255" w:lineRule="auto"/>
        <w:tabs>
          <w:tab w:leader="none" w:pos="155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(i) has constituted either a “distributing corporation” or a “controlled corporation” (within the meaning of Section 355(a)(1)(A) of the Code) in a distribution of securities (to any Person or entity that is not a member of the consolidated group of which the Company is the common parent corporation) qualifying for, or intended to qualify for, Tax-free treatment under Section 355 of the Code (A) within the two-year period ending on the date hereof or (B) in a distribution which could otherwise constitute part of a “plan” or “series of related transactions” (within the meaning of Section 355(e) of the Code) in conjunction with the transactions contemplated by this Agreement; or (ii) is or has ever been (A) a U.S. real property holding corporation within the meaning of Section 897(c)(2) of the Code, or (B) a member of any consolidated, combined, unitary or affiliated group of corporations for any Tax purposes other than a group of which the Company is or was the common parent corporation.</w:t>
      </w:r>
    </w:p>
    <w:p>
      <w:pPr>
        <w:spacing w:after="0" w:line="107" w:lineRule="exact"/>
        <w:rPr>
          <w:rFonts w:ascii="Times New Roman" w:cs="Times New Roman" w:eastAsia="Times New Roman" w:hAnsi="Times New Roman"/>
          <w:sz w:val="18"/>
          <w:szCs w:val="18"/>
          <w:color w:val="auto"/>
        </w:rPr>
      </w:pPr>
    </w:p>
    <w:p>
      <w:pPr>
        <w:ind w:right="80" w:firstLine="1304"/>
        <w:spacing w:after="0" w:line="282" w:lineRule="auto"/>
        <w:tabs>
          <w:tab w:leader="none" w:pos="151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is aware of any fact or circumstance that would reasonably be expected to prevent the Merger from qualifying as a “reorganization” within the meaning of Section 368(a) of the Code.</w:t>
      </w:r>
    </w:p>
    <w:p>
      <w:pPr>
        <w:spacing w:after="0" w:line="94"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contains a complete and accurate list of all premises currently leased or subleased or otherwise used or occupied by a Target Company for the operation of the business of a Target Company, and of all current leases, lease guarantees, agreements and documents related thereto, including all amendments, terminations and modifications thereof or waivers thereto (collectively, the “</w:t>
      </w:r>
      <w:r>
        <w:rPr>
          <w:rFonts w:ascii="Times New Roman" w:cs="Times New Roman" w:eastAsia="Times New Roman" w:hAnsi="Times New Roman"/>
          <w:sz w:val="18"/>
          <w:szCs w:val="18"/>
          <w:b w:val="1"/>
          <w:bCs w:val="1"/>
          <w:i w:val="1"/>
          <w:iCs w:val="1"/>
          <w:color w:val="auto"/>
        </w:rPr>
        <w:t>Company Real Property Leases</w:t>
      </w:r>
      <w:r>
        <w:rPr>
          <w:rFonts w:ascii="Times New Roman" w:cs="Times New Roman" w:eastAsia="Times New Roman" w:hAnsi="Times New Roman"/>
          <w:sz w:val="18"/>
          <w:szCs w:val="18"/>
          <w:color w:val="auto"/>
        </w:rPr>
        <w:t>”), as well as the current annual rent and term under each Company Real Property Lease. The Company has provided to the Purchaser a true and complete copy of each of the Company Real Property Leases. The Company Real Property Leases are valid, binding and enforceable in accordance with their terms and are in full force and effect (except, in each case, as such enforcement may be limited by Enforcement Exceptions). To the Knowledge of the Company, no event has occurred which (whether with or without notice, lapse of time or both or the happening or occurrence of any other event) would constitute a default on the part of a Target Company or any other party under any of the Company Real Property Leases, and no Target Company has received notice of any such condition. No Target Company owns or has ever owned any real property or any interest in real property (other than the leasehold interests in the Company Real Property Leases).</w:t>
      </w:r>
    </w:p>
    <w:p>
      <w:pPr>
        <w:spacing w:after="0" w:line="127"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Personal Property</w:t>
      </w:r>
      <w:r>
        <w:rPr>
          <w:rFonts w:ascii="Times New Roman" w:cs="Times New Roman" w:eastAsia="Times New Roman" w:hAnsi="Times New Roman"/>
          <w:sz w:val="18"/>
          <w:szCs w:val="18"/>
          <w:color w:val="auto"/>
        </w:rPr>
        <w:t xml:space="preserve">. Each item of Personal Property which is currently owned, used or leased by a Target Company with a book value or fair market value of greater than $50,000 is set forth on </w:t>
      </w:r>
      <w:r>
        <w:rPr>
          <w:rFonts w:ascii="Times New Roman" w:cs="Times New Roman" w:eastAsia="Times New Roman" w:hAnsi="Times New Roman"/>
          <w:sz w:val="18"/>
          <w:szCs w:val="18"/>
          <w:u w:val="single" w:color="auto"/>
          <w:color w:val="auto"/>
        </w:rPr>
        <w:t>Schedule 4.16</w:t>
      </w:r>
      <w:r>
        <w:rPr>
          <w:rFonts w:ascii="Times New Roman" w:cs="Times New Roman" w:eastAsia="Times New Roman" w:hAnsi="Times New Roman"/>
          <w:sz w:val="18"/>
          <w:szCs w:val="18"/>
          <w:color w:val="auto"/>
        </w:rPr>
        <w:t>, along with, to the extent applicable, a list of lease agreements, lease guarantees, security agreements and other agreements related thereto, including all amendments, terminations and modifications thereof or waivers thereto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Personal Property Leases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Schedule 4.16</w:t>
      </w:r>
      <w:r>
        <w:rPr>
          <w:rFonts w:ascii="Times New Roman" w:cs="Times New Roman" w:eastAsia="Times New Roman" w:hAnsi="Times New Roman"/>
          <w:sz w:val="18"/>
          <w:szCs w:val="18"/>
          <w:color w:val="auto"/>
        </w:rPr>
        <w:t>, all such items of Personal Property are in good operating condition and repair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wear and tear excepted consistent with the age of such items) in all material respects, and are suitable for their intended use in the business of the Target Companies. The operation of each Target Company’s business as it is now conducted or presently proposed to be conducted is not dependent upon the right to use the Personal Property of Persons other than a Target Company, except for such Personal Property that is owned, leased or licensed by or otherwise contracted to a Target Company. The Company has provided to the Purchaser a true and complete copy of each of the Company Personal Property Leases. The Company Personal Property Leases are valid, binding and enforceable in accordance with their terms (except, in each case, as such enforcement may be limited by Enforcement Exceptions) and are in full force and effect in all material respects. To the Knowledge of the Company, no event has occurred which (whether with or without notice, lapse of time or both or the happening or occurrence of any other event) would constitute a default on the part of a Target Company or any other party under any of the Company Personal Property Leases, and no Target Company has received notice of any such condition.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39" w:name="page240"/>
    <w:bookmarkEnd w:id="239"/>
    <w:p>
      <w:pPr>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Title to and Sufficiency of Assets</w:t>
      </w:r>
      <w:r>
        <w:rPr>
          <w:rFonts w:ascii="Times New Roman" w:cs="Times New Roman" w:eastAsia="Times New Roman" w:hAnsi="Times New Roman"/>
          <w:sz w:val="18"/>
          <w:szCs w:val="18"/>
          <w:color w:val="auto"/>
        </w:rPr>
        <w:t xml:space="preserve">. Each Target Company has good and marketable title to, or a valid leasehold interest in or right to use, all of its assets, free and clear of all Liens other than (a) Permitted Liens, (b) the rights of lessors under leasehold interests, (c) Liens specifically identified on the balance sheet as of the Interim Balance Sheet Date included in the Company Financials and (d) Liens set forth on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The assets (including Intellectual Property rights and contractual rights) of the Target Companies constitute all of the material assets, rights and properties that are currently used in the operation of the businesses of the Target Companies as it is now conducted or that are used or held by the Target Companies for use in the operation of the businesses of the Target Companies, and taken together, are adequate and sufficient for the operation of the businesses of the Target Companies as currently conducted.</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00" w:firstLine="1304"/>
        <w:spacing w:after="0" w:line="252" w:lineRule="auto"/>
        <w:tabs>
          <w:tab w:leader="none" w:pos="154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Target Company is a party to any collective bargaining agreement or other Contract covering any group of employees, labor organization or other representative of any of the employees of any Target Company, and the Company has no Knowledge of any activities or proceedings of any labor union or other party to organize or represent such employees. There has not occurred or, to the Knowledge of the Company, been threatened any strike, slow-down, picketing, work-stoppage, or other similar labor activity with respect to any such employees. </w:t>
      </w:r>
      <w:r>
        <w:rPr>
          <w:rFonts w:ascii="Times New Roman" w:cs="Times New Roman" w:eastAsia="Times New Roman" w:hAnsi="Times New Roman"/>
          <w:sz w:val="18"/>
          <w:szCs w:val="18"/>
          <w:u w:val="single" w:color="auto"/>
          <w:color w:val="auto"/>
        </w:rPr>
        <w:t>Schedule 4.18(a)</w:t>
      </w:r>
      <w:r>
        <w:rPr>
          <w:rFonts w:ascii="Times New Roman" w:cs="Times New Roman" w:eastAsia="Times New Roman" w:hAnsi="Times New Roman"/>
          <w:sz w:val="18"/>
          <w:szCs w:val="18"/>
          <w:color w:val="auto"/>
        </w:rPr>
        <w:t xml:space="preserve"> sets forth all unresolved labor controversies (including unresolved grievances and age or other discrimination claims), if any, that are pending or threatened in writing between any Target Company and Persons employed by or providing services as independent contractors to a Target Company. No current officer or key employee of a Target Company has provided any Target Company written notice of his or her plan to terminate his or her employment with any Target Company. No material employee layoff, facility closure or shutdown (whether voluntary or by Law or Order), reduction-in-force, furlough, temporary layoff, material work schedule change or reduction in hours, salary or wages, or other workforce changes affecting Target Company employees has occurred since January 1, 2020, or is currently contemplated, planned or announced, including as a result of COVID-19 or any COVID-19</w:t>
      </w:r>
    </w:p>
    <w:p>
      <w:pPr>
        <w:spacing w:after="0" w:line="5"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Measures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representations in this sentence with respect to the Company (but not any other Target Company) for periods prior to February 12, 2021 shall be made to the Company’s Knowledge. Since January 1, 2019, no Target Company has implemented any plant closing or employee layoffs that would trigger notice obligations under the WARN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representations in this sentence with respect to the Company (but not any other Target Company) for periods prior to February 12, 2021 shall be made to the Company’s Knowledge.</w:t>
      </w:r>
    </w:p>
    <w:p>
      <w:pPr>
        <w:spacing w:after="0" w:line="121" w:lineRule="exact"/>
        <w:rPr>
          <w:rFonts w:ascii="Times New Roman" w:cs="Times New Roman" w:eastAsia="Times New Roman" w:hAnsi="Times New Roman"/>
          <w:sz w:val="18"/>
          <w:szCs w:val="18"/>
          <w:color w:val="auto"/>
        </w:rPr>
      </w:pPr>
    </w:p>
    <w:p>
      <w:pPr>
        <w:ind w:right="20" w:firstLine="1304"/>
        <w:spacing w:after="0" w:line="253" w:lineRule="auto"/>
        <w:tabs>
          <w:tab w:leader="none" w:pos="155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Target Company (i) is and has been in compliance in all material respects with all applicable Laws respecting employment and employment practices, terms and conditions of employment, health and safety and wages and hours, and other Laws relating to discrimination, disability, labor relations, hours of work, payment of wages and overtime wages, pay equity, immigration, workers compensation, working conditions, employee scheduling, occupational safety and health, family and medical leave, and employee terminations, and has not received written notice that there is any pending Action involving unfair labor practices against a Target Company, (ii) is not liable for any material past due arrears of wages or any material penalty for failure to comply with any of the foregoing, and (iii) is not liable for any material payment to any Governmental Authority with respect to unemployment compensation benefits, social security or other benefits or obligations for employees, independent contractors or consultants (other than routine payments to be made in the ordinary course of business and consistent with past practice). There are no Actions pending or threatened in writing against a Target Company brought by or on behalf of any applicant for employment, any current or former employee, any Person alleging to be a current or former employee, or any Governmental Authority, relating to any such Law or regulation, or alleging breach of any express or implied contract of employment, wrongful termination of employment, or alleging any other discriminatory, wrongful or tortious conduct in connection with the employment relationship.</w:t>
      </w:r>
    </w:p>
    <w:p>
      <w:pPr>
        <w:spacing w:after="0" w:line="108" w:lineRule="exact"/>
        <w:rPr>
          <w:rFonts w:ascii="Times New Roman" w:cs="Times New Roman" w:eastAsia="Times New Roman" w:hAnsi="Times New Roman"/>
          <w:sz w:val="18"/>
          <w:szCs w:val="18"/>
          <w:color w:val="auto"/>
        </w:rPr>
      </w:pPr>
    </w:p>
    <w:p>
      <w:pPr>
        <w:ind w:right="140" w:firstLine="1304"/>
        <w:spacing w:after="0" w:line="253" w:lineRule="auto"/>
        <w:tabs>
          <w:tab w:leader="none" w:pos="153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provided the Purchaser with a complete and accurate list as of April 1, 2022 of all employees of the Target Companies showing for each as of such date (i) the employee’s name, job title or description, employer, location, salary level (including any bonus, commission, deferred compensation or other remuneration payable (other than any such arrangements under which payments are at the discretion of the Target Companies)), and (ii) any wages, salary, bonus, commission or other compensation due and owing to each employee during or for the fiscal year ending December 31, 2021. Except as set forth on </w:t>
      </w:r>
      <w:r>
        <w:rPr>
          <w:rFonts w:ascii="Times New Roman" w:cs="Times New Roman" w:eastAsia="Times New Roman" w:hAnsi="Times New Roman"/>
          <w:sz w:val="18"/>
          <w:szCs w:val="18"/>
          <w:u w:val="single" w:color="auto"/>
          <w:color w:val="auto"/>
        </w:rPr>
        <w:t>Schedule 4.18(c)</w:t>
      </w:r>
      <w:r>
        <w:rPr>
          <w:rFonts w:ascii="Times New Roman" w:cs="Times New Roman" w:eastAsia="Times New Roman" w:hAnsi="Times New Roman"/>
          <w:sz w:val="18"/>
          <w:szCs w:val="18"/>
          <w:color w:val="auto"/>
        </w:rPr>
        <w:t xml:space="preserve">, (A) no employee is a party to a written employment Contract with a Target Company and each is employed “at will”, and (B) the Target Companies have paid in full to all their employees all wages, salaries, commission, bonuses and other compensation due to their employees, including overtime compensation, and no Target Company has any obligation or Liability (whether or not contingent) with respect to severance payments to any such employees under the terms of any written agreement, or commitment or any applicable Law, custom, trade or practice. Except as set forth in </w:t>
      </w:r>
      <w:r>
        <w:rPr>
          <w:rFonts w:ascii="Times New Roman" w:cs="Times New Roman" w:eastAsia="Times New Roman" w:hAnsi="Times New Roman"/>
          <w:sz w:val="18"/>
          <w:szCs w:val="18"/>
          <w:u w:val="single" w:color="auto"/>
          <w:color w:val="auto"/>
        </w:rPr>
        <w:t>Schedule 4.18(c)</w:t>
      </w:r>
      <w:r>
        <w:rPr>
          <w:rFonts w:ascii="Times New Roman" w:cs="Times New Roman" w:eastAsia="Times New Roman" w:hAnsi="Times New Roman"/>
          <w:sz w:val="18"/>
          <w:szCs w:val="18"/>
          <w:color w:val="auto"/>
        </w:rPr>
        <w:t>, each Target Company employee has entered into the Company’s standard form of employee non-disclosure, inventions and restrictive covenants agreement with a Target Company (whether pursuant to a separate agreement or incorporated as part of such employee’s overall employment agreement), a copy of which has been made available to the Purchaser by the Company.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40" w:name="page241"/>
    <w:bookmarkEnd w:id="240"/>
    <w:p>
      <w:pPr>
        <w:ind w:left="-8" w:right="40" w:firstLine="1304"/>
        <w:spacing w:after="0" w:line="271" w:lineRule="auto"/>
        <w:tabs>
          <w:tab w:leader="none" w:pos="1543"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4.18(d)</w:t>
      </w:r>
      <w:r>
        <w:rPr>
          <w:rFonts w:ascii="Times New Roman" w:cs="Times New Roman" w:eastAsia="Times New Roman" w:hAnsi="Times New Roman"/>
          <w:sz w:val="17"/>
          <w:szCs w:val="17"/>
          <w:color w:val="auto"/>
        </w:rPr>
        <w:t xml:space="preserve"> contains a list of all independent contractors (including consultants) currently engaged by any Target Company, along with the position, the entity engaging such Person, date of retention and rate of remuneration for each such Person. Except as set forth on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4.18(d)</w:t>
      </w:r>
      <w:r>
        <w:rPr>
          <w:rFonts w:ascii="Times New Roman" w:cs="Times New Roman" w:eastAsia="Times New Roman" w:hAnsi="Times New Roman"/>
          <w:sz w:val="17"/>
          <w:szCs w:val="17"/>
          <w:color w:val="auto"/>
        </w:rPr>
        <w:t>, all of such independent contractors are a party to a written Contract with a Target Company. Except as set forth on S</w:t>
      </w:r>
      <w:r>
        <w:rPr>
          <w:rFonts w:ascii="Times New Roman" w:cs="Times New Roman" w:eastAsia="Times New Roman" w:hAnsi="Times New Roman"/>
          <w:sz w:val="17"/>
          <w:szCs w:val="17"/>
          <w:u w:val="single" w:color="auto"/>
          <w:color w:val="auto"/>
        </w:rPr>
        <w:t>chedule 4.18(d)</w:t>
      </w:r>
      <w:r>
        <w:rPr>
          <w:rFonts w:ascii="Times New Roman" w:cs="Times New Roman" w:eastAsia="Times New Roman" w:hAnsi="Times New Roman"/>
          <w:sz w:val="17"/>
          <w:szCs w:val="17"/>
          <w:color w:val="auto"/>
        </w:rPr>
        <w:t xml:space="preserve">, each such independent contractor has entered into customary covenants regarding confidentiality, non-solicitation and assignment of inventions and copyrights in such Person’s agreement with a Target Company, a copy of which has been provided to the Purchaser by the Company. For the purposes of applicable Law, including the Code, all independent contractors who are currently, or within the past six (6) years, have been, engaged by a Target Company are bona fide independent contractors and not employees of a Target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representations in this sentence with respect to the Company (but not any other Target Company) for periods prior to February 12, 2021 shall be made to the Company’s Knowledge. Each independent contractor is terminable on fewer than thirty (30) days’ notice, without any obligation of any Target Company to pay a material amount in severance or a termination fee.</w:t>
      </w:r>
    </w:p>
    <w:p>
      <w:pPr>
        <w:spacing w:after="0" w:line="106"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8" w:right="60" w:firstLine="1304"/>
        <w:spacing w:after="0" w:line="257" w:lineRule="auto"/>
        <w:tabs>
          <w:tab w:leader="none" w:pos="1533"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4.19(a)</w:t>
      </w:r>
      <w:r>
        <w:rPr>
          <w:rFonts w:ascii="Times New Roman" w:cs="Times New Roman" w:eastAsia="Times New Roman" w:hAnsi="Times New Roman"/>
          <w:sz w:val="18"/>
          <w:szCs w:val="18"/>
          <w:color w:val="auto"/>
        </w:rPr>
        <w:t xml:space="preserve"> is a true and complete list of each material Benefit Plan of a Target Company (each, a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Benefit Plan</w:t>
      </w:r>
      <w:r>
        <w:rPr>
          <w:rFonts w:ascii="Times New Roman" w:cs="Times New Roman" w:eastAsia="Times New Roman" w:hAnsi="Times New Roman"/>
          <w:sz w:val="18"/>
          <w:szCs w:val="18"/>
          <w:color w:val="auto"/>
        </w:rPr>
        <w:t>”). With respect to each Company Benefit Plan, there are no funded benefit obligations for which contributions have not been materially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 properly accrued and there are no material unfunded benefit obligations that have not been accounted for by reserves, or otherwise properly footnoted in accordance with GAAP on the Company Financials. Except as set forth on </w:t>
      </w:r>
      <w:r>
        <w:rPr>
          <w:rFonts w:ascii="Times New Roman" w:cs="Times New Roman" w:eastAsia="Times New Roman" w:hAnsi="Times New Roman"/>
          <w:sz w:val="18"/>
          <w:szCs w:val="18"/>
          <w:u w:val="single" w:color="auto"/>
          <w:color w:val="auto"/>
        </w:rPr>
        <w:t>Schedule 4.19(a)</w:t>
      </w:r>
      <w:r>
        <w:rPr>
          <w:rFonts w:ascii="Times New Roman" w:cs="Times New Roman" w:eastAsia="Times New Roman" w:hAnsi="Times New Roman"/>
          <w:sz w:val="18"/>
          <w:szCs w:val="18"/>
          <w:color w:val="auto"/>
        </w:rPr>
        <w:t>, no Target Company is or has in the past been a member of a “controlled group” for purposes of Section 414(b), (c), (m) or (o) of the Code other than with another Target Company, nor does any Target Company have any Liability with respect to any collectively-bargained for plans, whether or not subject to the provisions of ERISA.</w:t>
      </w:r>
    </w:p>
    <w:p>
      <w:pPr>
        <w:spacing w:after="0" w:line="105" w:lineRule="exact"/>
        <w:rPr>
          <w:rFonts w:ascii="Times New Roman" w:cs="Times New Roman" w:eastAsia="Times New Roman" w:hAnsi="Times New Roman"/>
          <w:sz w:val="18"/>
          <w:szCs w:val="18"/>
          <w:color w:val="auto"/>
        </w:rPr>
      </w:pPr>
    </w:p>
    <w:p>
      <w:pPr>
        <w:ind w:left="-8" w:right="20" w:firstLine="1304"/>
        <w:spacing w:after="0" w:line="261" w:lineRule="auto"/>
        <w:tabs>
          <w:tab w:leader="none" w:pos="1543"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in all material respects is and has been operated in compliance with all applicable Laws in all material respects, including ERISA and the Code. Each Company Benefit Plan which is intended to be “qualified” within the meaning of Section 401(a) of the Code</w:t>
      </w:r>
    </w:p>
    <w:p>
      <w:pPr>
        <w:ind w:left="-8" w:right="100" w:firstLine="8"/>
        <w:spacing w:after="0" w:line="255" w:lineRule="auto"/>
        <w:tabs>
          <w:tab w:leader="none" w:pos="20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determined by the IRS to be so qualified (or is based on a prototype plan which has received a favorable opinion letter) during the period from its adoption to the date of this Agreement and (ii) is funded through a trust exempt from taxation under Section 501(a) of the Code. To the Knowledge of the Company, no fact exists which could adversely affect the qualified status of such Company Benefit Plans or the exempt status of such trusts.</w:t>
      </w:r>
    </w:p>
    <w:p>
      <w:pPr>
        <w:spacing w:after="0" w:line="118" w:lineRule="exact"/>
        <w:rPr>
          <w:rFonts w:ascii="Times New Roman" w:cs="Times New Roman" w:eastAsia="Times New Roman" w:hAnsi="Times New Roman"/>
          <w:sz w:val="18"/>
          <w:szCs w:val="18"/>
          <w:color w:val="auto"/>
        </w:rPr>
      </w:pPr>
    </w:p>
    <w:p>
      <w:pPr>
        <w:ind w:left="-8" w:right="80" w:firstLine="1304"/>
        <w:spacing w:after="0" w:line="255" w:lineRule="auto"/>
        <w:tabs>
          <w:tab w:leader="none" w:pos="1529"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Benefit Plan, the Company has made available to the Purchaser accurate and complete copies, if applicable, of: (i) all Company Benefit Plan documents and agreements and related trust agreements or annuity Contracts (including any amendments, modifications or supplements thereto); (ii) all summary plan descriptions and material modifications thereto; (iii) the three (3) most recent Forms 5500, if applicable, and annual report, including all schedules thereto; (iv) the most recent annual and periodic accounting of plan assets; (v) the three (3) most recent nondiscrimination testing reports; (vi) the most recent determination letter received from the IRS, if any; (vii) the most recent actuarial valuation; and (viii) all material written communications between a Target Company or any Company Benefit Plan and any Governmental Authority and relating to a Company Benefit Plan within six (6) years preceding the date of this Agreement.</w:t>
      </w:r>
    </w:p>
    <w:p>
      <w:pPr>
        <w:spacing w:after="0" w:line="121" w:lineRule="exact"/>
        <w:rPr>
          <w:rFonts w:ascii="Times New Roman" w:cs="Times New Roman" w:eastAsia="Times New Roman" w:hAnsi="Times New Roman"/>
          <w:sz w:val="18"/>
          <w:szCs w:val="18"/>
          <w:color w:val="auto"/>
        </w:rPr>
      </w:pPr>
    </w:p>
    <w:p>
      <w:pPr>
        <w:ind w:left="-8" w:firstLine="1304"/>
        <w:spacing w:after="0" w:line="255" w:lineRule="auto"/>
        <w:tabs>
          <w:tab w:leader="none" w:pos="15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Benefit Plan: (i) such Company Benefit Plan has been administered and enforced in all material respects in accordance with its terms, the Code and ERISA; (ii) no Target Company nor any employee, officer or director thereof that is a fiduciary (under ERISA) with respect to such Company Benefit Plan has breached any of its fiduciary responsibilities, obligations or duties imposed on it by ERISA; (iii) no Action is pending or threatened in writing (other than routine claims for benefits arising in the ordinary course of administration); (iv) nothing has occurred with respect to any Company Benefit Plan that has subjected any Target Company to any material penalty under Section 502 of ERISA or Section 4975 of the Code; and (v) all contributions and premiums due through the Closing Date have been made in all material respects as required under ERISA or have been fully accrued in all material respects on the Company Financials.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99" w:right="339" w:bottom="1440" w:gutter="0" w:footer="0" w:header="0"/>
        </w:sectPr>
      </w:pPr>
    </w:p>
    <w:bookmarkStart w:id="241" w:name="page242"/>
    <w:bookmarkEnd w:id="241"/>
    <w:p>
      <w:pPr>
        <w:ind w:right="40" w:firstLine="1304"/>
        <w:spacing w:after="0" w:line="254" w:lineRule="auto"/>
        <w:tabs>
          <w:tab w:leader="none" w:pos="154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is, and no Target Company or any of its respective ERISA Affiliates sponsors, maintains, contributes to, is required to contribute to, or otherwise has or couls reasonably be expected to have any current or contingent Liability under or with respect to, a “defined benefit plan” (as defined in Section 414(j) of the Code), a “multiemployer plan” (as defined in Section 3(37) of ERISA) or a “multiple employer plan” (as described in Section 413(c) of the Code) or is otherwise subject to Title IV of ERISA or Section 412 of the Code. To the Company’s Knowledge, no Company Benefit Plan will become a multiple employer plan with respect to any Target Company immediately after the Closing Date. No Target Company currently maintains or has ever maintained, or is required currently or has ever been required to contribute to or otherwise participate in, a multiple employer welfare arrangement or voluntary employees’ beneficiary association as defined in Section 501(c)(9) of the Code. For purposes of this Agreement, “</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means, with respect to a Target Company, any Person or entity (whether or not incorporated) that is under common control or treated as one employer under Section 4001(b)(1) of ERISA or Section 414(b), (c), (m) or (o) of the Code.</w:t>
      </w:r>
    </w:p>
    <w:p>
      <w:pPr>
        <w:spacing w:after="0" w:line="120" w:lineRule="exact"/>
        <w:rPr>
          <w:rFonts w:ascii="Times New Roman" w:cs="Times New Roman" w:eastAsia="Times New Roman" w:hAnsi="Times New Roman"/>
          <w:sz w:val="18"/>
          <w:szCs w:val="18"/>
          <w:color w:val="auto"/>
        </w:rPr>
      </w:pPr>
    </w:p>
    <w:p>
      <w:pPr>
        <w:ind w:right="80" w:firstLine="1304"/>
        <w:spacing w:after="0" w:line="261" w:lineRule="auto"/>
        <w:tabs>
          <w:tab w:leader="none" w:pos="151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arrangement under any Company Benefit Plan with respect to any employee that would result in the payment of any amount that by operation of Sections 280G or 162(m) of the Code would not be deductible by the Target Companies and no arrangement exists pursuant to which a Target Company will be required to “gross up” or otherwise compensate any person because of the imposition of any excise tax on a payment to such person.</w:t>
      </w:r>
    </w:p>
    <w:p>
      <w:pPr>
        <w:spacing w:after="0" w:line="112" w:lineRule="exact"/>
        <w:rPr>
          <w:rFonts w:ascii="Times New Roman" w:cs="Times New Roman" w:eastAsia="Times New Roman" w:hAnsi="Times New Roman"/>
          <w:sz w:val="18"/>
          <w:szCs w:val="18"/>
          <w:color w:val="auto"/>
        </w:rPr>
      </w:pPr>
    </w:p>
    <w:p>
      <w:pPr>
        <w:ind w:right="200" w:firstLine="1304"/>
        <w:spacing w:after="0" w:line="261" w:lineRule="auto"/>
        <w:tabs>
          <w:tab w:leader="none" w:pos="154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Company Benefit Plan which is a “welfare plan” (as described in Section 3(1) of ERISA): (i) no such plan provides medical or death benefits with respect to current or former employees of a Target Company beyond their termination of employment (other than coverage mandated by Law, which is paid solely by such employees); and (ii) there are no reserves, assets, surplus or prepaid premiums under any such plan. Each Target Company has complied with the provisions of Section 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ERISA and Section 4980B of the Code.</w:t>
      </w:r>
    </w:p>
    <w:p>
      <w:pPr>
        <w:spacing w:after="0" w:line="9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4.19(h)</w:t>
      </w:r>
      <w:r>
        <w:rPr>
          <w:rFonts w:ascii="Times New Roman" w:cs="Times New Roman" w:eastAsia="Times New Roman" w:hAnsi="Times New Roman"/>
          <w:sz w:val="18"/>
          <w:szCs w:val="18"/>
          <w:color w:val="auto"/>
        </w:rPr>
        <w:t>, the consummation of the transactions contemplated by this Agreement and the Ancillary</w:t>
      </w:r>
    </w:p>
    <w:p>
      <w:pPr>
        <w:spacing w:after="0" w:line="27" w:lineRule="exact"/>
        <w:rPr>
          <w:rFonts w:ascii="Times New Roman" w:cs="Times New Roman" w:eastAsia="Times New Roman" w:hAnsi="Times New Roman"/>
          <w:sz w:val="18"/>
          <w:szCs w:val="18"/>
          <w:color w:val="auto"/>
        </w:rPr>
      </w:pPr>
    </w:p>
    <w:p>
      <w:pPr>
        <w:ind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will not: (i) entitle any individual to severance pay, unemployment compensation or other benefits or compensation; or (ii) accelerate the time of payment or vesting, or increase the amount of any compensation due, or in respect of, any individual. No Target Company has incurred any Liability for any Tax imposed under Chapter 43 of the Code or civil liability under Section 502(i) or (l) of ERISA.</w:t>
      </w:r>
    </w:p>
    <w:p>
      <w:pPr>
        <w:spacing w:after="0" w:line="118" w:lineRule="exact"/>
        <w:rPr>
          <w:rFonts w:ascii="Times New Roman" w:cs="Times New Roman" w:eastAsia="Times New Roman" w:hAnsi="Times New Roman"/>
          <w:sz w:val="18"/>
          <w:szCs w:val="18"/>
          <w:color w:val="auto"/>
        </w:rPr>
      </w:pPr>
    </w:p>
    <w:p>
      <w:pPr>
        <w:ind w:right="120" w:firstLine="1304"/>
        <w:spacing w:after="0" w:line="261" w:lineRule="auto"/>
        <w:tabs>
          <w:tab w:leader="none" w:pos="151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Benefit Plan that constitutes, in any part, a “nonqualified deferred compensation plan” (as defined in Section 409A of the Code) is listed on </w:t>
      </w:r>
      <w:r>
        <w:rPr>
          <w:rFonts w:ascii="Times New Roman" w:cs="Times New Roman" w:eastAsia="Times New Roman" w:hAnsi="Times New Roman"/>
          <w:sz w:val="18"/>
          <w:szCs w:val="18"/>
          <w:u w:val="single" w:color="auto"/>
          <w:color w:val="auto"/>
        </w:rPr>
        <w:t>Schedule 4.19(i)</w:t>
      </w:r>
      <w:r>
        <w:rPr>
          <w:rFonts w:ascii="Times New Roman" w:cs="Times New Roman" w:eastAsia="Times New Roman" w:hAnsi="Times New Roman"/>
          <w:sz w:val="18"/>
          <w:szCs w:val="18"/>
          <w:color w:val="auto"/>
        </w:rPr>
        <w:t xml:space="preserve"> and has been, in all material respects, in documentary and operational compliance with Section 409A of the Code and all applicable IRS guidance promulgated thereunder. There is no Contract or plan to which any Target Company is a party or by which it is bound to compensate any employee, consultant or director for penalty taxes incurred pursuant to Section 409A of the Code.</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4.20</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firstLine="1304"/>
        <w:spacing w:after="0" w:line="256" w:lineRule="auto"/>
        <w:tabs>
          <w:tab w:leader="none" w:pos="154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Target Company is and has been in compliance in all material respects with all applicable Environmental Laws, including obtaining, maintaining in good standing, and complying in all material respects with all Permits required for its business and operations by Environmental Laws (“</w:t>
      </w:r>
      <w:r>
        <w:rPr>
          <w:rFonts w:ascii="Times New Roman" w:cs="Times New Roman" w:eastAsia="Times New Roman" w:hAnsi="Times New Roman"/>
          <w:sz w:val="18"/>
          <w:szCs w:val="18"/>
          <w:b w:val="1"/>
          <w:bCs w:val="1"/>
          <w:i w:val="1"/>
          <w:iCs w:val="1"/>
          <w:color w:val="auto"/>
        </w:rPr>
        <w:t>Environmental Permits</w:t>
      </w:r>
      <w:r>
        <w:rPr>
          <w:rFonts w:ascii="Times New Roman" w:cs="Times New Roman" w:eastAsia="Times New Roman" w:hAnsi="Times New Roman"/>
          <w:sz w:val="18"/>
          <w:szCs w:val="18"/>
          <w:color w:val="auto"/>
        </w:rPr>
        <w:t>”), no Action is pending or threatened in writing to revoke, modify, or terminate any such Environmental Permit, and, to the Company’s Knowledge, no facts, circumstances, or conditions currently exist that could adversely affect such continued compliance in all material respects with Environmental Laws and Environmental Permits or require capital expenditures to achieve or maintain such continued compliance with Environmental Laws and Environmental Permits.</w:t>
      </w:r>
    </w:p>
    <w:p>
      <w:pPr>
        <w:spacing w:after="0" w:line="119" w:lineRule="exact"/>
        <w:rPr>
          <w:rFonts w:ascii="Times New Roman" w:cs="Times New Roman" w:eastAsia="Times New Roman" w:hAnsi="Times New Roman"/>
          <w:sz w:val="18"/>
          <w:szCs w:val="18"/>
          <w:color w:val="auto"/>
        </w:rPr>
      </w:pPr>
    </w:p>
    <w:p>
      <w:pPr>
        <w:ind w:right="160" w:firstLine="1304"/>
        <w:spacing w:after="0" w:line="266" w:lineRule="auto"/>
        <w:tabs>
          <w:tab w:leader="none" w:pos="155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is the subject of any outstanding Order or Contract with any Governmental Authority or other Person in respect of any (i) Environmental Laws, (ii) Remedial Action, or (iii) Release or threatened Release of a Hazardous Material. No Target Company has assumed, contractually or by operation of Law, any Liabilities or obligations under any Environmental Laws.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42" w:name="page243"/>
    <w:bookmarkEnd w:id="242"/>
    <w:p>
      <w:pPr>
        <w:ind w:right="160" w:firstLine="1304"/>
        <w:spacing w:after="0" w:line="266" w:lineRule="auto"/>
        <w:tabs>
          <w:tab w:leader="none" w:pos="154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has been made or is pending or threatened in writing against any Target Company or any assets of a Target Company alleging either or both that a Target Company may be in material violation of any Environmental Law or Environmental Permit or may have any material Liability under any Environmental Law.</w:t>
      </w:r>
    </w:p>
    <w:p>
      <w:pPr>
        <w:spacing w:after="0" w:line="94" w:lineRule="exact"/>
        <w:rPr>
          <w:rFonts w:ascii="Times New Roman" w:cs="Times New Roman" w:eastAsia="Times New Roman" w:hAnsi="Times New Roman"/>
          <w:sz w:val="18"/>
          <w:szCs w:val="18"/>
          <w:color w:val="auto"/>
        </w:rPr>
      </w:pPr>
    </w:p>
    <w:p>
      <w:pPr>
        <w:ind w:right="20" w:firstLine="1304"/>
        <w:spacing w:after="0" w:line="256" w:lineRule="auto"/>
        <w:tabs>
          <w:tab w:leader="none" w:pos="155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has manufactured, treated, stored, disposed of, arranged for or permitted the disposal of, generated, handled or Released any Hazardous Material, or owned or operated any property or facility, in a manner that has given or would reasonably be expected to give rise to any material Liability or material obligation under applicable Environmental Laws. No fact, circumstance, or condition exists in respect of any Target Company or any property currently or formerly owned, operated, or leased by any Target Company or any property to which a Target Company arranged for the disposal or treatment of Hazardous Materials that would reasonably be expected to result in a Target Company incurring any material Environmental Liabilities.</w:t>
      </w:r>
    </w:p>
    <w:p>
      <w:pPr>
        <w:spacing w:after="0" w:line="119" w:lineRule="exact"/>
        <w:rPr>
          <w:rFonts w:ascii="Times New Roman" w:cs="Times New Roman" w:eastAsia="Times New Roman" w:hAnsi="Times New Roman"/>
          <w:sz w:val="18"/>
          <w:szCs w:val="18"/>
          <w:color w:val="auto"/>
        </w:rPr>
      </w:pPr>
    </w:p>
    <w:p>
      <w:pPr>
        <w:ind w:right="120" w:firstLine="1304"/>
        <w:spacing w:after="0" w:line="266" w:lineRule="auto"/>
        <w:tabs>
          <w:tab w:leader="none" w:pos="153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investigation of the business, operations, or currently owned, operated, or leased property of a Target Company or, to the Company’s Knowledge, previously owned, operated, or leased property of a Target Company pending or threatened in writing that would lead to the imposition of any Liens under any Environmental Law or material Environmental Liabilities.</w:t>
      </w:r>
    </w:p>
    <w:p>
      <w:pPr>
        <w:spacing w:after="0" w:line="108" w:lineRule="exact"/>
        <w:rPr>
          <w:rFonts w:ascii="Times New Roman" w:cs="Times New Roman" w:eastAsia="Times New Roman" w:hAnsi="Times New Roman"/>
          <w:sz w:val="18"/>
          <w:szCs w:val="18"/>
          <w:color w:val="auto"/>
        </w:rPr>
      </w:pPr>
    </w:p>
    <w:p>
      <w:pPr>
        <w:ind w:right="380" w:firstLine="1304"/>
        <w:spacing w:after="0" w:line="282" w:lineRule="auto"/>
        <w:tabs>
          <w:tab w:leader="none" w:pos="151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is not located at any of the properties of a Target Company any (i) underground storage tanks, (ii) asbestos-containing material, or (iii) equipment containing polychlorinated biphenyls.</w:t>
      </w:r>
    </w:p>
    <w:p>
      <w:pPr>
        <w:spacing w:after="0" w:line="80" w:lineRule="exact"/>
        <w:rPr>
          <w:rFonts w:ascii="Times New Roman" w:cs="Times New Roman" w:eastAsia="Times New Roman" w:hAnsi="Times New Roman"/>
          <w:sz w:val="18"/>
          <w:szCs w:val="18"/>
          <w:color w:val="auto"/>
        </w:rPr>
      </w:pPr>
    </w:p>
    <w:p>
      <w:pPr>
        <w:ind w:right="60" w:firstLine="1304"/>
        <w:spacing w:after="0" w:line="282" w:lineRule="auto"/>
        <w:tabs>
          <w:tab w:leader="none" w:pos="154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to the Purchaser all environmentally related site assessments, audits, studies, reports, analysis and results of investigations that have been performed in respect of the currently or previously owned, leased, or operated properties of any Target Company.</w:t>
      </w:r>
    </w:p>
    <w:p>
      <w:pPr>
        <w:spacing w:after="0" w:line="94"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Transactions with Related Persons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4.21</w:t>
      </w:r>
      <w:r>
        <w:rPr>
          <w:rFonts w:ascii="Times New Roman" w:cs="Times New Roman" w:eastAsia="Times New Roman" w:hAnsi="Times New Roman"/>
          <w:sz w:val="18"/>
          <w:szCs w:val="18"/>
          <w:color w:val="auto"/>
        </w:rPr>
        <w:t>, no Target Company nor any of its Affiliates, nor any officer, director, manager, employee, trustee or beneficiary of a Target Company or any of its Affiliates, nor any immediate family member of any of the foregoing (whether directly or indirectly through an Affiliate of such Person) (each of the foregoing, a “</w:t>
      </w:r>
      <w:r>
        <w:rPr>
          <w:rFonts w:ascii="Times New Roman" w:cs="Times New Roman" w:eastAsia="Times New Roman" w:hAnsi="Times New Roman"/>
          <w:sz w:val="18"/>
          <w:szCs w:val="18"/>
          <w:b w:val="1"/>
          <w:bCs w:val="1"/>
          <w:i w:val="1"/>
          <w:iCs w:val="1"/>
          <w:color w:val="auto"/>
        </w:rPr>
        <w:t>Related Person</w:t>
      </w:r>
      <w:r>
        <w:rPr>
          <w:rFonts w:ascii="Times New Roman" w:cs="Times New Roman" w:eastAsia="Times New Roman" w:hAnsi="Times New Roman"/>
          <w:sz w:val="18"/>
          <w:szCs w:val="18"/>
          <w:color w:val="auto"/>
        </w:rPr>
        <w:t xml:space="preserve">”) is presently, or in the past three (3) years, has been, a party to any transaction with a Target Company, including any Contract or other arrangement (a) providing for the furnishing of services by (other than as officers, directors or employees of the Target Company), (b) providing for the rental of real property or Personal Property from or (c) otherwise requiring payments to (other than for services or expenses as directors, officers or employees of the Target Company in the ordinary course of business consistent with past practice) any Related Person or any Person in which any Related Person has an interest as an owner, officer, manager, director, trustee or partner or in which any Related Person has any direct or indirect interest (other than the ownership of securities representing no more than two percent (2%) of the outstanding voting power or economic interest of a publicly traded company). Except as set forth on </w:t>
      </w:r>
      <w:r>
        <w:rPr>
          <w:rFonts w:ascii="Times New Roman" w:cs="Times New Roman" w:eastAsia="Times New Roman" w:hAnsi="Times New Roman"/>
          <w:sz w:val="18"/>
          <w:szCs w:val="18"/>
          <w:u w:val="single" w:color="auto"/>
          <w:color w:val="auto"/>
        </w:rPr>
        <w:t>Schedule 4.21</w:t>
      </w:r>
      <w:r>
        <w:rPr>
          <w:rFonts w:ascii="Times New Roman" w:cs="Times New Roman" w:eastAsia="Times New Roman" w:hAnsi="Times New Roman"/>
          <w:sz w:val="18"/>
          <w:szCs w:val="18"/>
          <w:color w:val="auto"/>
        </w:rPr>
        <w:t>, no Target Company has outstanding any Contract or other arrangement or commitment with any Related Person, and no Related Person owns any real property or Personal Property, or right, tangible or intangible (including Intellectual Property) which is used in the business of any Target Company. The assets of the Target Companies do not include any receivable or other obligation from a Related Person, and the liabilities of the Target Companies do not include any payable or other obligation or commitment to any Related Person.</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Company Insurance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right="100" w:firstLine="1304"/>
        <w:spacing w:after="0" w:line="271" w:lineRule="auto"/>
        <w:tabs>
          <w:tab w:leader="none" w:pos="154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4.22(a)</w:t>
      </w:r>
      <w:r>
        <w:rPr>
          <w:rFonts w:ascii="Times New Roman" w:cs="Times New Roman" w:eastAsia="Times New Roman" w:hAnsi="Times New Roman"/>
          <w:sz w:val="17"/>
          <w:szCs w:val="17"/>
          <w:color w:val="auto"/>
        </w:rPr>
        <w:t xml:space="preserve"> lists all insurance policies (by policy number, insurer, coverage period, coverage amount, annual premium and type of policy) held by a Target Company relating to a Target Company or its business, properties, assets, directors, officers and employees, copies of which have been provided to the Purchaser. All premiums due and payable under all such insurance policies have been timely paid and the Target Companies are otherwise in material compliance with the terms of such insurance policies. Each such insurance policy (i) is legal, valid, binding, enforceable and in full force and effect and (ii) will continue to be legal, valid, binding, enforceable, and in full force and effect on identical terms following the Closing. No Target Company has any self-insurance or co-insurance programs. Since January 1, 2020, no Target Company has received any notice from, or on behalf of, any insurance carrier relating to or involving any adverse change or any change other than in the ordinary course of business, in the conditions of insurance, any refusal to issue an insurance policy or non-renewal of a policy;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representations in this sentence with respect to the Company (but not any other Target Company) for periods prior to February 12, 2021 shall be made to the Company’s Knowledge.</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21" w:right="379" w:bottom="1440" w:gutter="0" w:footer="0" w:header="0"/>
        </w:sectPr>
      </w:pPr>
    </w:p>
    <w:bookmarkStart w:id="243" w:name="page244"/>
    <w:bookmarkEnd w:id="243"/>
    <w:p>
      <w:pPr>
        <w:ind w:right="20" w:firstLine="1304"/>
        <w:spacing w:after="0" w:line="256" w:lineRule="auto"/>
        <w:tabs>
          <w:tab w:leader="none" w:pos="155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4.22(b)</w:t>
      </w:r>
      <w:r>
        <w:rPr>
          <w:rFonts w:ascii="Times New Roman" w:cs="Times New Roman" w:eastAsia="Times New Roman" w:hAnsi="Times New Roman"/>
          <w:sz w:val="18"/>
          <w:szCs w:val="18"/>
          <w:color w:val="auto"/>
        </w:rPr>
        <w:t xml:space="preserve"> identifies each individual insurance claim in excess of $50,000 made by a Target Company since February 12, 2021. Each Target Company has reported to its insurers all claims and pending circumstances that would reasonably be expected to result in a claim, except where such failure to report such a claim would not be reasonably likely to be material to the Target Companies. To the Knowledge of the Company, no event has occurred, and no condition or circumstance exists, that would reasonably be expected to (with or without notice or lapse of time) give rise to or serve as a basis for the denial of any such insurance claim. No Target Company has made any claim against an insurance policy as to which the insurer is denying coverage.</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Healthcare Industry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80" w:firstLine="1304"/>
        <w:spacing w:after="0" w:line="254" w:lineRule="auto"/>
        <w:tabs>
          <w:tab w:leader="none" w:pos="154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Target Company is, and has been since January 1, 2019, in compliance in all material respects with all applicable healthcare Laws, including (i) the Federal Food, Drug, and Cosmetic Act (“</w:t>
      </w:r>
      <w:r>
        <w:rPr>
          <w:rFonts w:ascii="Times New Roman" w:cs="Times New Roman" w:eastAsia="Times New Roman" w:hAnsi="Times New Roman"/>
          <w:sz w:val="18"/>
          <w:szCs w:val="18"/>
          <w:b w:val="1"/>
          <w:bCs w:val="1"/>
          <w:i w:val="1"/>
          <w:iCs w:val="1"/>
          <w:color w:val="auto"/>
        </w:rPr>
        <w:t>FDCA</w:t>
      </w:r>
      <w:r>
        <w:rPr>
          <w:rFonts w:ascii="Times New Roman" w:cs="Times New Roman" w:eastAsia="Times New Roman" w:hAnsi="Times New Roman"/>
          <w:sz w:val="18"/>
          <w:szCs w:val="18"/>
          <w:color w:val="auto"/>
        </w:rPr>
        <w:t xml:space="preserve">”); (ii) all federal or state criminal or civil fraud and abuse Laws (including the federal Anti-Kickback Statute (42 U.S.C. §1320a-7(b)), the Civil Monetary Penalties Law (42 U.S.C. §1320a-7(a)), the Sunshine Act (42 U.S.C. §1320a-7(h)), the Exclusion Law (42 U.S.C. §1320a-7), the Criminal False Statements Law (42 U.S.C. §1320a-7b(a), Stark Law (42 U.S.C. §1395nn), the False Claims Act (31 U.S.C. §§3729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42 U.S.C. §1320a-7b(a)), HIPAA (42 U.S.C. §§1320d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and any comparable state or local Laws) and; (iii) any applicable state licensing, disclosure and reporting requirements (all of the foregoing, collectively, “</w:t>
      </w:r>
      <w:r>
        <w:rPr>
          <w:rFonts w:ascii="Times New Roman" w:cs="Times New Roman" w:eastAsia="Times New Roman" w:hAnsi="Times New Roman"/>
          <w:sz w:val="18"/>
          <w:szCs w:val="18"/>
          <w:b w:val="1"/>
          <w:bCs w:val="1"/>
          <w:i w:val="1"/>
          <w:iCs w:val="1"/>
          <w:color w:val="auto"/>
        </w:rPr>
        <w:t>Healthcare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representations in this sentence with respect to the Company (but not any other Target Company) for periods prior to February 12, 2021 shall be made to the Company’s Knowledge. No Target Company has received written notification of any pending Action from the FDA or any other similar regulatory authority alleging that any operation or activity of any Target Company is in material violation of any applicable Healthcare Law.</w:t>
      </w:r>
    </w:p>
    <w:p>
      <w:pPr>
        <w:spacing w:after="0" w:line="120" w:lineRule="exact"/>
        <w:rPr>
          <w:rFonts w:ascii="Times New Roman" w:cs="Times New Roman" w:eastAsia="Times New Roman" w:hAnsi="Times New Roman"/>
          <w:sz w:val="18"/>
          <w:szCs w:val="18"/>
          <w:color w:val="auto"/>
        </w:rPr>
      </w:pPr>
    </w:p>
    <w:p>
      <w:pPr>
        <w:ind w:right="140" w:firstLine="1304"/>
        <w:spacing w:after="0" w:line="253" w:lineRule="auto"/>
        <w:tabs>
          <w:tab w:leader="none" w:pos="154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preclinical and clinical investigations conducted or sponsored by any Target Company and intended to be submitted to a regulatory authority to support a regulatory approval are being conducted in compliance in all material respects with all applicable Healthcare Laws administered or issued by the applicable Governmental Authority, including, as applicable, (i) the FDA regulations for conducting non-clinical laboratory studies contained in Title 21 part 58 of the Code of Federal Regulations, (ii) applicable FDA requirements for the design, conduct, performance, monitoring, auditing, recording, analysis and reporting of clinical trials contained in Title 21 parts 50, 54, 56 and 312 of the Code of Federal Regulations and (iii) applicable federal, state and foreign Healthcare Laws restricting the use and disclosure of individually identifiable health information, including</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w:t>
      </w:r>
    </w:p>
    <w:p>
      <w:pPr>
        <w:spacing w:after="0" w:line="125" w:lineRule="exact"/>
        <w:rPr>
          <w:rFonts w:ascii="Times New Roman" w:cs="Times New Roman" w:eastAsia="Times New Roman" w:hAnsi="Times New Roman"/>
          <w:sz w:val="18"/>
          <w:szCs w:val="18"/>
          <w:color w:val="auto"/>
        </w:rPr>
      </w:pPr>
    </w:p>
    <w:p>
      <w:pPr>
        <w:ind w:firstLine="1304"/>
        <w:spacing w:after="0" w:line="252" w:lineRule="auto"/>
        <w:tabs>
          <w:tab w:leader="none" w:pos="153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reports, documents, claims, Permits and notices required to be filed, maintained or furnished to the FDA or any other regulatory authority by each Target Company have been so filed, maintained or furnished. To the Knowledge of the Company, all such reports, documents, claims, permits and notices were complete and accurate on the date filed (or were corrected in or supplemented by a subsequent filing). Neither any Target Company nor, to the Knowledge of the Company, any officer, employee or agent of any Target Company has (i) made an untrue statement of a material fact or any fraudulent statement to the FDA or any other regulatory authority, (ii) failed to disclose a material fact required to be disclosed to the FDA or any other regulatory authority or (iii) committed an act, made a statement, or failed to make a statement that, at the time such disclosure was made, would reasonably be expected to provide a reasonable basis for the FDA or any other regulatory authority to invoke its policy respecting “Fraud, Untrue Statements of Material Facts, Bribery, and Illegal Gratuities”, set forth in 56 Fed. Reg. 46191 (September 10, 1991) or any similar policy. Neither any Target Company nor, to the Knowledge of the Company, any officer, employee or agent of any Target Company has been convicted of any crime or engaged in any conduct for which debarment is mandated by 21 U.S.C. §335a(a) or any similar Healthcare Law or authorized by 21 U.S.C. §335a(b) or any similar Healthcare Law. Neither any Target Company nor, to the Knowledge of the Company, any officer, employee or agent of any Target Company has been convicted of any crime or engaged in any conduct for which such person could be excluded from participating in the federal health care programs under Section 1128 of the Social Security Act of 1935 or any Healthcare Law. As of the date of this Agreement, no Actions that would reasonably be expected to result in material debarment or exclusion are pending or threatened in writing against any Target Company or, to the Company’s Knowledge, any officer, employee, contractor, supplier (in their capacities as such) or other entities or individuals performing research or work on behalf of any Target Company. No Target Company is a party to any corporate integrity agreements, monitoring agreements, consent decrees, settlement orders, or similar agreements with or imposed by any Governmental Authority.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44" w:name="page245"/>
    <w:bookmarkEnd w:id="244"/>
    <w:p>
      <w:pPr>
        <w:ind w:left="100" w:right="80" w:firstLine="1294"/>
        <w:spacing w:after="0" w:line="266" w:lineRule="auto"/>
        <w:tabs>
          <w:tab w:leader="none" w:pos="165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has received any written notice, correspondence or other communication from the FDA or any other regulatory authority or from any institutional review board requiring the termination, suspension or material modification of any ongoing or planned clinical trials conducted by, or on behalf of, any Target Company.</w:t>
      </w:r>
    </w:p>
    <w:p>
      <w:pPr>
        <w:spacing w:after="0" w:line="94" w:lineRule="exact"/>
        <w:rPr>
          <w:rFonts w:ascii="Times New Roman" w:cs="Times New Roman" w:eastAsia="Times New Roman" w:hAnsi="Times New Roman"/>
          <w:sz w:val="18"/>
          <w:szCs w:val="18"/>
          <w:color w:val="auto"/>
        </w:rPr>
      </w:pPr>
    </w:p>
    <w:p>
      <w:pPr>
        <w:jc w:val="both"/>
        <w:ind w:left="100" w:right="100" w:firstLine="1294"/>
        <w:spacing w:after="0" w:line="312" w:lineRule="auto"/>
        <w:tabs>
          <w:tab w:leader="none" w:pos="1631"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no data generated by any Target Company with respect to its products is the subject of any written regulatory Action, either pending or threatened in writing, by any Governmental Authority relating to the truthfulness or scientific integrity of such data.</w:t>
      </w:r>
    </w:p>
    <w:p>
      <w:pPr>
        <w:spacing w:after="0" w:line="72" w:lineRule="exact"/>
        <w:rPr>
          <w:rFonts w:ascii="Times New Roman" w:cs="Times New Roman" w:eastAsia="Times New Roman" w:hAnsi="Times New Roman"/>
          <w:sz w:val="17"/>
          <w:szCs w:val="17"/>
          <w:color w:val="auto"/>
        </w:rPr>
      </w:pPr>
    </w:p>
    <w:p>
      <w:pPr>
        <w:ind w:left="100" w:firstLine="1294"/>
        <w:spacing w:after="0" w:line="253" w:lineRule="auto"/>
        <w:tabs>
          <w:tab w:leader="none" w:pos="161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Company’s Knowledge, no product manufactured or distributed by any Target Company is (i) adulterated within the meaning of 21 U.S.C. §351 (or any similar Healthcare Law), or (ii) misbranded within the meaning of 21 U.S.C. §352 (or any similar Healthcare Law). Since January 1, 2019, neither any Target Company nor, to the Company’s Knowledge, any of their respective contract manufacturers has received any FDA Form 483, warning letter, untitled letter, or other similar written correspondence or written notice from the FDA or any other regulatory authority alleging or asserting material noncompliance with any applicable Healthcare Laws or Permits issued to the Company by the FDA or any other regulatory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representations in this sentence with respect to the Company (but not any other Target Company) for periods prior to February 12, 2021 shall be made to the Company’s Knowledge. No manufacturing site owned by any Target Company or, to the Company’s Knowledge, any of their respective contract manufacturers, is or has been since January 1, 2019, subject to a shutdown or import or export prohibition imposed by the FDA or another regulatory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representations in this sentence with respect to the Company (but not any other Target Company) for periods prior to February 12, 2021 shall be made to the Company’s Knowledge.</w:t>
      </w:r>
    </w:p>
    <w:p>
      <w:pPr>
        <w:spacing w:after="0" w:line="127"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Top 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4.24</w:t>
      </w:r>
      <w:r>
        <w:rPr>
          <w:rFonts w:ascii="Times New Roman" w:cs="Times New Roman" w:eastAsia="Times New Roman" w:hAnsi="Times New Roman"/>
          <w:sz w:val="18"/>
          <w:szCs w:val="18"/>
          <w:color w:val="auto"/>
        </w:rPr>
        <w:t xml:space="preserve"> lists, by dollar volume paid for each of (a) the twelve (12) months ended on December 31, 2021 and (b) the period from January 1, 2022 through the Interim Balance Sheet Date, the five (5) largest suppliers of goods or services to the Target Companies (the “</w:t>
      </w:r>
      <w:r>
        <w:rPr>
          <w:rFonts w:ascii="Times New Roman" w:cs="Times New Roman" w:eastAsia="Times New Roman" w:hAnsi="Times New Roman"/>
          <w:sz w:val="18"/>
          <w:szCs w:val="18"/>
          <w:b w:val="1"/>
          <w:bCs w:val="1"/>
          <w:i w:val="1"/>
          <w:iCs w:val="1"/>
          <w:color w:val="auto"/>
        </w:rPr>
        <w:t>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Suppliers</w:t>
      </w:r>
      <w:r>
        <w:rPr>
          <w:rFonts w:ascii="Times New Roman" w:cs="Times New Roman" w:eastAsia="Times New Roman" w:hAnsi="Times New Roman"/>
          <w:sz w:val="18"/>
          <w:szCs w:val="18"/>
          <w:color w:val="auto"/>
        </w:rPr>
        <w:t>”), along with the amounts of such dollar volumes. The relationships of each Target Company with such Top Suppliers are good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relationships and (i) no Top Supplier within the last twelve (12) months has canceled or otherwise terminated, or, to the Company’s Knowledge, intends to cancel or otherwise terminate, any material relationships of such Person with a Target Company, (ii) no Top Supplier has during the last twelve</w:t>
      </w:r>
    </w:p>
    <w:p>
      <w:pPr>
        <w:spacing w:after="0" w:line="3" w:lineRule="exact"/>
        <w:rPr>
          <w:sz w:val="20"/>
          <w:szCs w:val="20"/>
          <w:color w:val="auto"/>
        </w:rPr>
      </w:pPr>
    </w:p>
    <w:p>
      <w:pPr>
        <w:ind w:firstLine="8"/>
        <w:spacing w:after="0" w:line="253" w:lineRule="auto"/>
        <w:tabs>
          <w:tab w:leader="none" w:pos="34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decreased materially or threatened in writing to stop, decrease or limit materially, or intends to modify materially its material relationships with a Target Company or intends to stop, decrease or limit materially its products or services to any Target Company, (iii) to the Company’s Knowledge, no Top Supplier intends to seek to exercise any remedy against any Target Company, and (iv) no Target Company has within the past two (2) years been engaged in any material dispute with any Top Supplier.</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304"/>
        <w:spacing w:after="0" w:line="254" w:lineRule="auto"/>
        <w:tabs>
          <w:tab w:leader="none" w:pos="154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nor any of their respective officers or directors, nor, to the Knowledge of the Company, any of their other Representatives acting on their behalf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U.S. Foreign Corrupt Practices Act of 1977 or any other local or foreign anti-corruption or bribery Law or (iii) made any other unlawful payment. No Target Company, nor any of their respective officers or directors, nor, to the Knowledge of the Company, any of their other Representatives acting on their behalf has directly or indirectly, given or agreed to give any unlawful gift or similar benefit in any material amount to any customer, supplier, governmental employee or other Person who is or may be in a position to help or hinder any Target Company or assist any Target Company in connection with any actual or proposed transaction.</w:t>
      </w:r>
    </w:p>
    <w:p>
      <w:pPr>
        <w:spacing w:after="0" w:line="124" w:lineRule="exact"/>
        <w:rPr>
          <w:rFonts w:ascii="Times New Roman" w:cs="Times New Roman" w:eastAsia="Times New Roman" w:hAnsi="Times New Roman"/>
          <w:sz w:val="18"/>
          <w:szCs w:val="18"/>
          <w:color w:val="auto"/>
        </w:rPr>
      </w:pPr>
    </w:p>
    <w:p>
      <w:pPr>
        <w:ind w:right="220" w:firstLine="1304"/>
        <w:spacing w:after="0" w:line="261" w:lineRule="auto"/>
        <w:tabs>
          <w:tab w:leader="none" w:pos="154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each Target Company are and have been conducted at all times in compliance with money laundering Laws in all applicable jurisdictions, the rules and regulations thereunder in all material respects and any related or similar rules, regulations or guidelines, issued, administered or enforced by any Governmental Authority, and no Action involving a Target Company with respect to any of the foregoing is pending or threatened in writing.</w:t>
      </w:r>
    </w:p>
    <w:p>
      <w:pPr>
        <w:spacing w:after="0" w:line="98" w:lineRule="exact"/>
        <w:rPr>
          <w:rFonts w:ascii="Times New Roman" w:cs="Times New Roman" w:eastAsia="Times New Roman" w:hAnsi="Times New Roman"/>
          <w:sz w:val="18"/>
          <w:szCs w:val="18"/>
          <w:color w:val="auto"/>
        </w:rPr>
      </w:pPr>
    </w:p>
    <w:p>
      <w:pPr>
        <w:ind w:right="40" w:firstLine="1304"/>
        <w:spacing w:after="0" w:line="255" w:lineRule="auto"/>
        <w:tabs>
          <w:tab w:leader="none" w:pos="154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Target Company or any of their respective directors or officers, or, to the Knowledge of the Company, any other Representative acting on behalf of a Target Company is currently identified on the specially designated nationals or other blocked person list or otherwise currently subject to any U.S. sanctions administered by OFAC, and no Target Company has in the last five (5) fiscal years, directly or indirectly, used any funds, or loaned, contributed or otherwise made available such funds to any Subsidiary, joint venture partner or other Person, in connection with any sales or operations in Cuba, Iran, Syria, Sudan, Myanmar or any other country sanctioned by OFAC or for the purpose of financing the activities of any Person currently subject to, or otherwise in violation of, any U.S. sanctions administered by OFAC;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representations in this sentence with respect to the Company (but not any other Target Company) for periods prior to February 12, 2021 shall be made to the Company’s Knowledge.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45" w:name="page246"/>
    <w:bookmarkEnd w:id="245"/>
    <w:p>
      <w:pPr>
        <w:ind w:left="440"/>
        <w:spacing w:after="0"/>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Product Liability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0" w:right="40" w:firstLine="1296"/>
        <w:spacing w:after="0" w:line="258" w:lineRule="auto"/>
        <w:tabs>
          <w:tab w:leader="none" w:pos="162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product manufactured, sold or delivered by any Target Company in conducting its business has been in all material respects in conformity with all product specifications all express and implied warranties and all applicable Laws. To the Company’s Knowledge, no Target Company has any material Liability for replacement or repair of any such products or other damages in connection therewith or any other customer or product obligations not reserved against in the Company Financial Statements. No Target Company has sold any products or delivered any services that included a warranty for a period of longer than one year.</w:t>
      </w:r>
    </w:p>
    <w:p>
      <w:pPr>
        <w:spacing w:after="0" w:line="115" w:lineRule="exact"/>
        <w:rPr>
          <w:rFonts w:ascii="Times New Roman" w:cs="Times New Roman" w:eastAsia="Times New Roman" w:hAnsi="Times New Roman"/>
          <w:sz w:val="18"/>
          <w:szCs w:val="18"/>
          <w:color w:val="auto"/>
        </w:rPr>
      </w:pPr>
    </w:p>
    <w:p>
      <w:pPr>
        <w:ind w:left="80" w:right="40" w:firstLine="1296"/>
        <w:spacing w:after="0" w:line="256" w:lineRule="auto"/>
        <w:tabs>
          <w:tab w:leader="none" w:pos="162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Target Company has any material Liability arising out of any injury to individuals or property as a result of the ownership, possession, or use of any product designed, manufactured, assembled, repaired, maintained, delivered, sold or installed, or services rendered, by or on behalf of a Target Company. No Target Company has committed any act or omission which would reasonably be expected to result in, and there has been no occurrence which would reasonably be expected to give rise to or form the basis of, any material product Liability or material Liability for breach of warranty (whether covered by insurance or not) on the part of a Target Company with respect to products designed, manufactured, assembled, repaired, maintained, delivered, sold or installed or services rendered by or on behalf of a Target Company.</w:t>
      </w:r>
    </w:p>
    <w:p>
      <w:pPr>
        <w:spacing w:after="0" w:line="120"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Target Company is an “investment company”, a Person directly or indirectly “controlled” by or acting on behalf of an “investment company” or required to register as an “investment company”, in each case within the meaning of the Investment Company Act of 1940, as amended.</w:t>
      </w:r>
    </w:p>
    <w:p>
      <w:pPr>
        <w:spacing w:after="0" w:line="95"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u w:val="single" w:color="auto"/>
          <w:color w:val="auto"/>
        </w:rPr>
        <w:t>Finders and Brokers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4.28</w:t>
      </w:r>
      <w:r>
        <w:rPr>
          <w:rFonts w:ascii="Times New Roman" w:cs="Times New Roman" w:eastAsia="Times New Roman" w:hAnsi="Times New Roman"/>
          <w:sz w:val="18"/>
          <w:szCs w:val="18"/>
          <w:color w:val="auto"/>
        </w:rPr>
        <w:t>, no Target Company has incurred or will incur any Liability for any brokerage, finder’s or other fee or commission in connection with the transactions contemplated hereby.</w:t>
      </w:r>
    </w:p>
    <w:p>
      <w:pPr>
        <w:spacing w:after="0" w:line="9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The Company has conducted its own independent investigation, review and analysis of the business, results of operations, prospects, condition (financial or otherwise) or assets of the Purchaser, and acknowledges that it has been provided adequate access to the personnel, properties, assets, premises, books and records, and other documents and data of the Purchaser for such purpose. The Company acknowledges and agrees that: (a) in making its decision to enter into this Agreement and to consummate the transactions contemplated hereby, it has relied solely upon its own investigation and the express representations and warranties of the Purchaser set forth in Agreement (including the related portions of the Purchaser Disclosure Schedules) and in any certificate delivered to the Company pursuant hereto; and (b) neither the Purchaser nor any of its Representatives have made any representation or warranty as to the Purchaser or this Agreement, except as expressly set forth in this Agreement (including the related portions of the Purchaser Disclosure Schedules) or in any certificate delivered to the Company pursuant hereto.</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Company expressly for inclusion or incorporation by reference:</w:t>
      </w:r>
    </w:p>
    <w:p>
      <w:pPr>
        <w:spacing w:after="0" w:line="27" w:lineRule="exact"/>
        <w:rPr>
          <w:sz w:val="20"/>
          <w:szCs w:val="20"/>
          <w:color w:val="auto"/>
        </w:rPr>
      </w:pPr>
    </w:p>
    <w:p>
      <w:pPr>
        <w:ind w:firstLine="8"/>
        <w:spacing w:after="0" w:line="251" w:lineRule="auto"/>
        <w:tabs>
          <w:tab w:leader="none" w:pos="24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current report on Form 8-K, and any exhibits thereto or any other report, form, registration or other filing made with any Governmental Authority or stock exchange with respect to the transactions contemplated by this Agreement or any Ancillary Documents; (b) in the Registration Statement; or (c) in the mailings or other distributions to the Purchaser’s stockholders and/or prospective investors with respect to the consummation of the transactions contemplated by this Agreement or in any amendment to any of documents identified in (a) through (c), will, when filed, made available, mailed or distributed, as the case may be, contain any untrue statement of a material fact or omit to state any material fact required to be stated therein or necessary in order to make the statements therein, in light of the circumstances under which they are made, not misleading. None of the information supplied or to be supplied by the Company expressly for inclusion or incorporation by reference in any of the Signing Press Release, the Signing Filing, the Closing Press Release and the Closing Filing will, when filed or distributed, as applicable,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warranty or covenant with respect to any information supplied by or on behalf of the Purchaser or its Affiliates.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46" w:name="page247"/>
    <w:bookmarkEnd w:id="246"/>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xml:space="preserve">. Except for the representations and warranties expressly made by the Company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Schedules) or as expressly set forth in an Ancillary Document, neither the Company nor any other Person on its behalf makes any express or implied representation or warranty with respect to any of the Target Companies or their respective business, operations, assets or Liabilities, or the transactions contemplated by this Agreement or any of the other Ancillary Documents, and the Company hereby expressly disclaims any other representations or warranties, whether implied or made by the Company or any of its Representatives. Except for the representations and warranties expressly made by the Company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Schedules) or in an Ancillary Document, the Company hereby expressly disclaims all liability and responsibility for any representation, warranty, projection, forecast, statement or information made, communicated or furnished to the Purchaser, Merger Sub or any of their respective Representatives, in writing or orally (including any opinion, information, projection or advice that may have been or may be provided to the Purchaser, Merger Sub or any of their respective Representatives by any Representative of the Company), including any representations or warranties regarding the probable success or profitability of the businesses of the Target Companies.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Access and Information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304"/>
        <w:spacing w:after="0" w:line="269" w:lineRule="auto"/>
        <w:tabs>
          <w:tab w:leader="none" w:pos="1541"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period from the date of this Agreement and continuing until the earlier of the termination of this Agreement in accordance with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or the Closing (the “</w:t>
      </w:r>
      <w:r>
        <w:rPr>
          <w:rFonts w:ascii="Times New Roman" w:cs="Times New Roman" w:eastAsia="Times New Roman" w:hAnsi="Times New Roman"/>
          <w:sz w:val="17"/>
          <w:szCs w:val="17"/>
          <w:b w:val="1"/>
          <w:bCs w:val="1"/>
          <w:i w:val="1"/>
          <w:iCs w:val="1"/>
          <w:color w:val="auto"/>
        </w:rPr>
        <w:t>Interim Period</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5.15</w:t>
      </w:r>
      <w:r>
        <w:rPr>
          <w:rFonts w:ascii="Times New Roman" w:cs="Times New Roman" w:eastAsia="Times New Roman" w:hAnsi="Times New Roman"/>
          <w:sz w:val="17"/>
          <w:szCs w:val="17"/>
          <w:color w:val="auto"/>
        </w:rPr>
        <w:t>, the Company shall give, and shall cause its Representatives to give, the Purchaser and its Representatives, at reasonable times during normal business hours and upon reasonable intervals and notice, reasonable access to all offices and other facilities and to all employees, properties, Contracts, agreements, commitments, books and records, financial and operating data and other information (including Tax Returns, internal working papers, client files, client Contracts and director service agreements), of or pertaining to the Target Companies, as the Purchaser or its Representatives may reasonably request regarding the Target Companies and their respective businesses, assets, Liabilities, financial condition, prospects, operations, management, employees and other aspects (including a copy of each material report, schedule and other document filed with or received by a Governmental Authority pursuant to the requirements of applicable securities Laws, and independent public accountants’ work papers (subject to the consent or any other conditions required by such accountants, if any)) and cause each of the Company’s Representatives to reasonably cooperate with the Purchaser and its Representatives in their investigation</w:t>
      </w:r>
      <w:r>
        <w:rPr>
          <w:rFonts w:ascii="Times New Roman" w:cs="Times New Roman" w:eastAsia="Times New Roman" w:hAnsi="Times New Roman"/>
          <w:sz w:val="17"/>
          <w:szCs w:val="17"/>
          <w:i w:val="1"/>
          <w:iCs w:val="1"/>
          <w:color w:val="auto"/>
        </w:rPr>
        <w:t>; provided, however,</w:t>
      </w:r>
      <w:r>
        <w:rPr>
          <w:rFonts w:ascii="Times New Roman" w:cs="Times New Roman" w:eastAsia="Times New Roman" w:hAnsi="Times New Roman"/>
          <w:sz w:val="17"/>
          <w:szCs w:val="17"/>
          <w:color w:val="auto"/>
        </w:rPr>
        <w:t xml:space="preserve"> that the Purchaser and its Representatives shall conduct any such activities in such a manner as not to unreasonably interfere with the business or operations of the Target Companies.</w:t>
      </w:r>
    </w:p>
    <w:p>
      <w:pPr>
        <w:spacing w:after="0" w:line="100" w:lineRule="exact"/>
        <w:rPr>
          <w:rFonts w:ascii="Times New Roman" w:cs="Times New Roman" w:eastAsia="Times New Roman" w:hAnsi="Times New Roman"/>
          <w:sz w:val="17"/>
          <w:szCs w:val="17"/>
          <w:color w:val="auto"/>
        </w:rPr>
      </w:pPr>
    </w:p>
    <w:p>
      <w:pPr>
        <w:ind w:right="20" w:firstLine="1304"/>
        <w:spacing w:after="0" w:line="253" w:lineRule="auto"/>
        <w:tabs>
          <w:tab w:leader="none" w:pos="155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subject to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the Purchaser shall give, and shall cause its Representatives to give, the Company and its Representatives, at reasonable times during normal business hours and upon reasonable intervals and notice, reasonable access to all offices and other facilities and to all employees, properties, Contracts, agreements, commitments, books and records, financial and operating data and other information (including Tax Returns, internal working papers, client files, client Contracts and director service agreements), of or pertaining to the Purchaser or its Subsidiaries, as the Company or its Representatives may reasonably request regarding the Purchaser, its Subsidiaries and their respective businesses, assets, Liabilities, financial condition, prospects, operations, management, employees and other aspects (including a copy of each material report, schedule and other document filed with or received by a Governmental Authority pursuant to the requirements of applicable securities Laws, and independent public accountants’ work papers (subject to the consent or any other conditions required by such accountants, if any)) and cause each of the Purchaser’s Representatives to reasonably cooperate with the Company and its Representatives in their investigation</w:t>
      </w:r>
      <w:r>
        <w:rPr>
          <w:rFonts w:ascii="Times New Roman" w:cs="Times New Roman" w:eastAsia="Times New Roman" w:hAnsi="Times New Roman"/>
          <w:sz w:val="18"/>
          <w:szCs w:val="18"/>
          <w:i w:val="1"/>
          <w:iCs w:val="1"/>
          <w:color w:val="auto"/>
        </w:rPr>
        <w:t>; provided, however,</w:t>
      </w:r>
      <w:r>
        <w:rPr>
          <w:rFonts w:ascii="Times New Roman" w:cs="Times New Roman" w:eastAsia="Times New Roman" w:hAnsi="Times New Roman"/>
          <w:sz w:val="18"/>
          <w:szCs w:val="18"/>
          <w:color w:val="auto"/>
        </w:rPr>
        <w:t xml:space="preserve"> that the Company and its Representatives shall conduct any such activities in such a manner as not to unreasonably interfere with the business or operations of the Purchaser or any of its Subsidiaries.</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Conduct of Business of the Company.</w:t>
      </w:r>
    </w:p>
    <w:p>
      <w:pPr>
        <w:spacing w:after="0" w:line="158" w:lineRule="exact"/>
        <w:rPr>
          <w:sz w:val="20"/>
          <w:szCs w:val="20"/>
          <w:color w:val="auto"/>
        </w:rPr>
      </w:pPr>
    </w:p>
    <w:p>
      <w:pPr>
        <w:ind w:right="20" w:firstLine="1304"/>
        <w:spacing w:after="0" w:line="255" w:lineRule="auto"/>
        <w:tabs>
          <w:tab w:leader="none" w:pos="154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Purchaser shall otherwise consent in writing (such consent not to be unreasonably withheld, conditioned or delayed), during the Interim Period, except as expressly contemplated by this Agreement or the Ancillary Documents, as required by applicable Law (including COVID-19 Measures) or as set forth on </w:t>
      </w:r>
      <w:r>
        <w:rPr>
          <w:rFonts w:ascii="Times New Roman" w:cs="Times New Roman" w:eastAsia="Times New Roman" w:hAnsi="Times New Roman"/>
          <w:sz w:val="18"/>
          <w:szCs w:val="18"/>
          <w:u w:val="single" w:color="auto"/>
          <w:color w:val="auto"/>
        </w:rPr>
        <w:t>Schedule 5.2</w:t>
      </w:r>
      <w:r>
        <w:rPr>
          <w:rFonts w:ascii="Times New Roman" w:cs="Times New Roman" w:eastAsia="Times New Roman" w:hAnsi="Times New Roman"/>
          <w:sz w:val="18"/>
          <w:szCs w:val="18"/>
          <w:color w:val="auto"/>
        </w:rPr>
        <w:t>, the Company shall, and shall cause its Subsidiaries to, (i) conduct their respective businesses, in all material respects, in the ordinary course of business consistent with past practice, and (ii) take all commercially reasonable measures necessary or appropriate to preserve intact, in all material respects, their respective business organizations, to keep available the services of their respective managers, directors, officers, employees and consultants, and to preserve the possession, control and condition of their respective material assets, all as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47" w:name="page248"/>
    <w:bookmarkEnd w:id="247"/>
    <w:p>
      <w:pPr>
        <w:ind w:right="260" w:firstLine="1304"/>
        <w:spacing w:after="0" w:line="261" w:lineRule="auto"/>
        <w:tabs>
          <w:tab w:leader="none" w:pos="154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and except as contemplated by the terms of this Agreement or the Ancillary Documents, as required by applicable Law (including COVID-19 Measures) or as set forth on </w:t>
      </w:r>
      <w:r>
        <w:rPr>
          <w:rFonts w:ascii="Times New Roman" w:cs="Times New Roman" w:eastAsia="Times New Roman" w:hAnsi="Times New Roman"/>
          <w:sz w:val="18"/>
          <w:szCs w:val="18"/>
          <w:u w:val="single" w:color="auto"/>
          <w:color w:val="auto"/>
        </w:rPr>
        <w:t>Schedule 5.2</w:t>
      </w:r>
      <w:r>
        <w:rPr>
          <w:rFonts w:ascii="Times New Roman" w:cs="Times New Roman" w:eastAsia="Times New Roman" w:hAnsi="Times New Roman"/>
          <w:sz w:val="18"/>
          <w:szCs w:val="18"/>
          <w:color w:val="auto"/>
        </w:rPr>
        <w:t>, during the Interim Period, without the prior written consent of the Purchaser (such consent not to be unreasonably withheld, conditioned or delayed), the Company shall not, and shall cause its Subsidiaries to not:</w:t>
      </w:r>
    </w:p>
    <w:p>
      <w:pPr>
        <w:spacing w:after="0" w:line="98"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in any respect, its Organizational Documents, except as required by applicable Law;</w:t>
      </w:r>
    </w:p>
    <w:p>
      <w:pPr>
        <w:spacing w:after="0" w:line="130" w:lineRule="exact"/>
        <w:rPr>
          <w:rFonts w:ascii="Times New Roman" w:cs="Times New Roman" w:eastAsia="Times New Roman" w:hAnsi="Times New Roman"/>
          <w:sz w:val="18"/>
          <w:szCs w:val="18"/>
          <w:color w:val="auto"/>
        </w:rPr>
      </w:pPr>
    </w:p>
    <w:p>
      <w:pPr>
        <w:ind w:firstLine="1952"/>
        <w:spacing w:after="0" w:line="258" w:lineRule="auto"/>
        <w:tabs>
          <w:tab w:leader="none" w:pos="220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for issuance, issue, grant, sell, pledge, dispose of or propose to issue, grant, sell, pledge or dispose of any of its equity securities or any options, warrants, commitments, subscriptions or rights of any kind to acquire or sell any of its equity securities, or other securities, including any securities convertible into or exchangeable for any of its shares or other equity securities or securities of any class and any other equity-based awards, or engage in any hedging transaction with a third Person with respect to such securities; provided that the exercise or conversion of any Company Convertible Securities shall not require the consent of the Purchaser;</w:t>
      </w:r>
    </w:p>
    <w:p>
      <w:pPr>
        <w:spacing w:after="0" w:line="88" w:lineRule="exact"/>
        <w:rPr>
          <w:rFonts w:ascii="Times New Roman" w:cs="Times New Roman" w:eastAsia="Times New Roman" w:hAnsi="Times New Roman"/>
          <w:sz w:val="18"/>
          <w:szCs w:val="18"/>
          <w:color w:val="auto"/>
        </w:rPr>
      </w:pPr>
    </w:p>
    <w:p>
      <w:pPr>
        <w:ind w:right="340" w:firstLine="1952"/>
        <w:spacing w:after="0" w:line="266" w:lineRule="auto"/>
        <w:tabs>
          <w:tab w:leader="none" w:pos="225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recapitalize or reclassify any of its shares or other equity interests or issue any other securities in respect thereof or pay or set aside any dividend or other distribution (whether in cash, equity or property or any combination thereof) in respect of its equity interests, or directly or indirectly redeem, purchase or otherwise acquire or offer to acquire any of its securities;</w:t>
      </w:r>
    </w:p>
    <w:p>
      <w:pPr>
        <w:spacing w:after="0" w:line="94" w:lineRule="exact"/>
        <w:rPr>
          <w:rFonts w:ascii="Times New Roman" w:cs="Times New Roman" w:eastAsia="Times New Roman" w:hAnsi="Times New Roman"/>
          <w:sz w:val="18"/>
          <w:szCs w:val="18"/>
          <w:color w:val="auto"/>
        </w:rPr>
      </w:pPr>
    </w:p>
    <w:p>
      <w:pPr>
        <w:ind w:right="20" w:firstLine="1952"/>
        <w:spacing w:after="0" w:line="261" w:lineRule="auto"/>
        <w:tabs>
          <w:tab w:leader="none" w:pos="224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prepay or otherwise become liable for any Indebtedness (directly, contingently or otherwise) in excess of $200,000 individually or $500,000 in the aggregate, make a loan or advance to or investment in any third party (other than advancement of expenses to employees in the ordinary course of business), or guarantee or endorse any Indebtedness, Liability or obligation of any Person in excess of $200,000 individually or $500,000 in the aggregate;</w:t>
      </w:r>
    </w:p>
    <w:p>
      <w:pPr>
        <w:spacing w:after="0" w:line="85" w:lineRule="exact"/>
        <w:rPr>
          <w:rFonts w:ascii="Times New Roman" w:cs="Times New Roman" w:eastAsia="Times New Roman" w:hAnsi="Times New Roman"/>
          <w:sz w:val="18"/>
          <w:szCs w:val="18"/>
          <w:color w:val="auto"/>
        </w:rPr>
      </w:pPr>
    </w:p>
    <w:p>
      <w:pPr>
        <w:ind w:right="40" w:firstLine="1952"/>
        <w:spacing w:after="0" w:line="258" w:lineRule="auto"/>
        <w:tabs>
          <w:tab w:leader="none" w:pos="219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wages, salaries or compensation of its employees other than in the ordinary course of business, consistent with past practice, and in any event not in the aggregate by more than five percent (5%), or make or commit to make any bonus payment (whether in cash, property or securities) to any employee, or materially increase other benefits of employees generally, or enter into, establish, materially amend or terminate any Company Benefit Plan, in each case other than as required by applicable Law, pursuant to the terms of any Company Benefit Plans or in the ordinary course of business consistent with past practice;</w:t>
      </w:r>
    </w:p>
    <w:p>
      <w:pPr>
        <w:spacing w:after="0" w:line="88" w:lineRule="exact"/>
        <w:rPr>
          <w:rFonts w:ascii="Times New Roman" w:cs="Times New Roman" w:eastAsia="Times New Roman" w:hAnsi="Times New Roman"/>
          <w:sz w:val="18"/>
          <w:szCs w:val="18"/>
          <w:color w:val="auto"/>
        </w:rPr>
      </w:pPr>
    </w:p>
    <w:p>
      <w:pPr>
        <w:ind w:firstLine="1952"/>
        <w:spacing w:after="0" w:line="266" w:lineRule="auto"/>
        <w:tabs>
          <w:tab w:leader="none" w:pos="224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rescind any material election relating to Taxes, settle any claim, action, suit, litigation, proceeding, arbitration, investigation, audit or controversy relating to Taxes, file any amended Tax Return or claim for refund, or make any material change in its accounting or Tax policies or procedures, in each case except as required by applicable Law or in compliance with GAAP;</w:t>
      </w:r>
    </w:p>
    <w:p>
      <w:pPr>
        <w:spacing w:after="0" w:line="94" w:lineRule="exact"/>
        <w:rPr>
          <w:rFonts w:ascii="Times New Roman" w:cs="Times New Roman" w:eastAsia="Times New Roman" w:hAnsi="Times New Roman"/>
          <w:sz w:val="18"/>
          <w:szCs w:val="18"/>
          <w:color w:val="auto"/>
        </w:rPr>
      </w:pPr>
    </w:p>
    <w:p>
      <w:pPr>
        <w:ind w:right="160" w:firstLine="1952"/>
        <w:spacing w:after="0" w:line="261" w:lineRule="auto"/>
        <w:tabs>
          <w:tab w:leader="none" w:pos="229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license to any Person or otherwise extend, materially amend or modify, permit to lapse or fail to preserve any material Company Registered IP, Company Licensed IP or other Company IP (excluding non-exclusive licenses of Company IP to Target Company customers in the ordinary course of business consistent with past practice), or disclose to any Person who has not entered into a confidentiality agreement any Trade Secrets;</w:t>
      </w:r>
    </w:p>
    <w:p>
      <w:pPr>
        <w:spacing w:after="0" w:line="85" w:lineRule="exact"/>
        <w:rPr>
          <w:rFonts w:ascii="Times New Roman" w:cs="Times New Roman" w:eastAsia="Times New Roman" w:hAnsi="Times New Roman"/>
          <w:sz w:val="18"/>
          <w:szCs w:val="18"/>
          <w:color w:val="auto"/>
        </w:rPr>
      </w:pPr>
    </w:p>
    <w:p>
      <w:pPr>
        <w:ind w:right="60" w:firstLine="1952"/>
        <w:spacing w:after="0" w:line="266" w:lineRule="auto"/>
        <w:tabs>
          <w:tab w:leader="none" w:pos="234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waive or assign any material right under, any Company Material Contract or enter into any Contract that would be a Company Material Contract, in any case outside of the ordinary course of business consistent with past practice or in connection with the terms of this Section 5.2 during the Interim Period;</w:t>
      </w:r>
    </w:p>
    <w:p>
      <w:pPr>
        <w:spacing w:after="0" w:line="8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its books, accounts and records in all material respects in the ordinary course of business consistent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practice;</w:t>
      </w:r>
    </w:p>
    <w:p>
      <w:pPr>
        <w:spacing w:after="0" w:line="1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Subsidiary that is not directly or indirectly wholly-owned by the Company or enter into any new line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112" w:lineRule="exact"/>
        <w:rPr>
          <w:rFonts w:ascii="Times New Roman" w:cs="Times New Roman" w:eastAsia="Times New Roman" w:hAnsi="Times New Roman"/>
          <w:sz w:val="18"/>
          <w:szCs w:val="18"/>
          <w:color w:val="auto"/>
        </w:rPr>
      </w:pPr>
    </w:p>
    <w:p>
      <w:pPr>
        <w:ind w:right="60" w:firstLine="1952"/>
        <w:spacing w:after="0" w:line="266" w:lineRule="auto"/>
        <w:tabs>
          <w:tab w:leader="none" w:pos="224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248" w:name="page249"/>
    <w:bookmarkEnd w:id="248"/>
    <w:p>
      <w:pPr>
        <w:ind w:right="80" w:firstLine="1952"/>
        <w:spacing w:after="0" w:line="282" w:lineRule="auto"/>
        <w:tabs>
          <w:tab w:leader="none" w:pos="229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revalue any of its material assets or make any material change in accounting methods, principles or practices, except to the extent required to comply with GAAP and after consulting with the Company’s outside auditors;</w:t>
      </w:r>
    </w:p>
    <w:p>
      <w:pPr>
        <w:spacing w:after="0" w:line="80" w:lineRule="exact"/>
        <w:rPr>
          <w:rFonts w:ascii="Times New Roman" w:cs="Times New Roman" w:eastAsia="Times New Roman" w:hAnsi="Times New Roman"/>
          <w:sz w:val="18"/>
          <w:szCs w:val="18"/>
          <w:color w:val="auto"/>
        </w:rPr>
      </w:pPr>
    </w:p>
    <w:p>
      <w:pPr>
        <w:ind w:firstLine="1952"/>
        <w:spacing w:after="0" w:line="258" w:lineRule="auto"/>
        <w:tabs>
          <w:tab w:leader="none" w:pos="234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claim, action or proceeding (including any suit, action, claim, proceeding or investigation relating to this Agreement or the transactions contemplated hereby), other than waivers, releases, assignments, settlements or compromises that involve only the payment of monetary damages (and not the imposition of equitable relief on, or the admission of wrongdoing by, a Target Company or its Affiliates) not in excess of $200,000 (individually or in the aggregate), or otherwise pay, discharge or satisfy any Actions, Liabilities or obligations, unless such amount has been reserved in the Company Financials;</w:t>
      </w:r>
    </w:p>
    <w:p>
      <w:pPr>
        <w:spacing w:after="0" w:line="11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or materially reduce its activities, or effect any layoff or other personnel reduction or change, at any of its facilities;</w:t>
      </w:r>
    </w:p>
    <w:p>
      <w:pPr>
        <w:spacing w:after="0" w:line="157" w:lineRule="exact"/>
        <w:rPr>
          <w:rFonts w:ascii="Times New Roman" w:cs="Times New Roman" w:eastAsia="Times New Roman" w:hAnsi="Times New Roman"/>
          <w:sz w:val="18"/>
          <w:szCs w:val="18"/>
          <w:color w:val="auto"/>
        </w:rPr>
      </w:pPr>
    </w:p>
    <w:p>
      <w:pPr>
        <w:ind w:right="140" w:firstLine="1952"/>
        <w:spacing w:after="0" w:line="266" w:lineRule="auto"/>
        <w:tabs>
          <w:tab w:leader="none" w:pos="228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equity interests or assets, or any other form of business combination, any corporation, partnership, limited liability company, other business organization or any division thereof, or any material amount of assets outside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ind w:right="40" w:firstLine="1952"/>
        <w:spacing w:after="0" w:line="282" w:lineRule="auto"/>
        <w:tabs>
          <w:tab w:leader="none" w:pos="233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 in excess of $200,000 (individually for any project (or set of related projects) or $500,000 in the aggregate) other than in the ordinary course of business;</w:t>
      </w:r>
    </w:p>
    <w:p>
      <w:pPr>
        <w:spacing w:after="0" w:line="94"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recapitalization or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w:t>
      </w:r>
    </w:p>
    <w:p>
      <w:pPr>
        <w:spacing w:after="0" w:line="139" w:lineRule="exact"/>
        <w:rPr>
          <w:rFonts w:ascii="Times New Roman" w:cs="Times New Roman" w:eastAsia="Times New Roman" w:hAnsi="Times New Roman"/>
          <w:sz w:val="18"/>
          <w:szCs w:val="18"/>
          <w:color w:val="auto"/>
        </w:rPr>
      </w:pPr>
    </w:p>
    <w:p>
      <w:pPr>
        <w:ind w:right="180" w:firstLine="1952"/>
        <w:spacing w:after="0" w:line="266" w:lineRule="auto"/>
        <w:tabs>
          <w:tab w:leader="none" w:pos="243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incur any Liability or obligation (whether absolute, accrued, contingent or otherwise) in excess of $200,000 individually or $500,000 in the aggregate other than pursuant to the terms of a Company Material Contract or Company Benefit Plan or otherwise in the ordinary course of business;</w:t>
      </w:r>
    </w:p>
    <w:p>
      <w:pPr>
        <w:spacing w:after="0" w:line="94" w:lineRule="exact"/>
        <w:rPr>
          <w:rFonts w:ascii="Times New Roman" w:cs="Times New Roman" w:eastAsia="Times New Roman" w:hAnsi="Times New Roman"/>
          <w:sz w:val="18"/>
          <w:szCs w:val="18"/>
          <w:color w:val="auto"/>
        </w:rPr>
      </w:pPr>
    </w:p>
    <w:p>
      <w:pPr>
        <w:ind w:right="220" w:firstLine="1952"/>
        <w:spacing w:after="0" w:line="282" w:lineRule="auto"/>
        <w:tabs>
          <w:tab w:leader="none" w:pos="233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pledge or encumber (including securitizations), or otherwise dispose of any material portion of its properties, assets or rights;</w:t>
      </w:r>
    </w:p>
    <w:p>
      <w:pPr>
        <w:spacing w:after="0" w:line="94"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understanding or arrangement with respect to the voting of equity securities of the Company;</w:t>
      </w:r>
    </w:p>
    <w:p>
      <w:pPr>
        <w:spacing w:after="0" w:line="157" w:lineRule="exact"/>
        <w:rPr>
          <w:rFonts w:ascii="Times New Roman" w:cs="Times New Roman" w:eastAsia="Times New Roman" w:hAnsi="Times New Roman"/>
          <w:sz w:val="18"/>
          <w:szCs w:val="18"/>
          <w:color w:val="auto"/>
        </w:rPr>
      </w:pPr>
    </w:p>
    <w:p>
      <w:pPr>
        <w:ind w:right="280" w:firstLine="1952"/>
        <w:spacing w:after="0" w:line="282" w:lineRule="auto"/>
        <w:tabs>
          <w:tab w:leader="none" w:pos="233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significantly delay or impair the obtaining of any Consents of any Governmental Authority to be obtained in connection with this Agreement;</w:t>
      </w:r>
    </w:p>
    <w:p>
      <w:pPr>
        <w:spacing w:after="0" w:line="80" w:lineRule="exact"/>
        <w:rPr>
          <w:rFonts w:ascii="Times New Roman" w:cs="Times New Roman" w:eastAsia="Times New Roman" w:hAnsi="Times New Roman"/>
          <w:sz w:val="18"/>
          <w:szCs w:val="18"/>
          <w:color w:val="auto"/>
        </w:rPr>
      </w:pPr>
    </w:p>
    <w:p>
      <w:pPr>
        <w:ind w:right="100" w:firstLine="1952"/>
        <w:spacing w:after="0" w:line="282" w:lineRule="auto"/>
        <w:tabs>
          <w:tab w:leader="none" w:pos="238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collection of any trade receivables or delay the payment of trade payables or any other liabilities other than in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ind w:right="560" w:firstLine="1952"/>
        <w:spacing w:after="0" w:line="282" w:lineRule="auto"/>
        <w:tabs>
          <w:tab w:leader="none" w:pos="243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or waive any material rights under, any transaction with any Related Person (other than compensation and benefits and advancement of expenses, in each case, provided in the ordinary course of business consistent with past practice); or</w:t>
      </w:r>
    </w:p>
    <w:p>
      <w:pPr>
        <w:spacing w:after="0" w:line="94"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to do any of the foregoing actions.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Conduct of Business of the Purchaser.</w:t>
      </w:r>
    </w:p>
    <w:p>
      <w:pPr>
        <w:spacing w:after="0" w:line="158" w:lineRule="exact"/>
        <w:rPr>
          <w:sz w:val="20"/>
          <w:szCs w:val="20"/>
          <w:color w:val="auto"/>
        </w:rPr>
      </w:pPr>
    </w:p>
    <w:p>
      <w:pPr>
        <w:ind w:right="60" w:firstLine="1304"/>
        <w:spacing w:after="0" w:line="253" w:lineRule="auto"/>
        <w:tabs>
          <w:tab w:leader="none" w:pos="154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Company shall otherwise consent in writing (such consent not to be unreasonably withheld, conditioned or delayed), during the Interim Period, except as expressly contemplated by this Agreement or the Ancillary Documents as required by applicable Law (including COVID-19 Measures) or as set forth on </w:t>
      </w:r>
      <w:r>
        <w:rPr>
          <w:rFonts w:ascii="Times New Roman" w:cs="Times New Roman" w:eastAsia="Times New Roman" w:hAnsi="Times New Roman"/>
          <w:sz w:val="18"/>
          <w:szCs w:val="18"/>
          <w:u w:val="single" w:color="auto"/>
          <w:color w:val="auto"/>
        </w:rPr>
        <w:t>Schedule 5.3</w:t>
      </w:r>
      <w:r>
        <w:rPr>
          <w:rFonts w:ascii="Times New Roman" w:cs="Times New Roman" w:eastAsia="Times New Roman" w:hAnsi="Times New Roman"/>
          <w:sz w:val="18"/>
          <w:szCs w:val="18"/>
          <w:color w:val="auto"/>
        </w:rPr>
        <w:t xml:space="preserve">, the Purchaser shall, and shall cause its Subsidiaries to, (i) conduct their respective businesses, in all material respects, in the ordinary course of business consistent with past practice, (ii) comply with all Laws applicable to the Purchaser and its Subsidiaries and their respective businesses, assets and employees in all material respects, and (iii) take all commercially reasonable measures necessary or appropriate to preserve intact, in all material respects, their respective business organizations, to keep available the services of their respective managers, directors, officers, employees and consultants, and to preserve the possession, control and condition of their respective material assets, all as consistent with past practice. Notwithstanding anything to the contrary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nothing in this Agreement shall prohibit or restrict the Purchaser from extending, in accordance with the Purchaser’s Organizational Documents and the Purchaser IPO Prospectus, the deadline by which it must complete its Business Combination (an “</w:t>
      </w:r>
      <w:r>
        <w:rPr>
          <w:rFonts w:ascii="Times New Roman" w:cs="Times New Roman" w:eastAsia="Times New Roman" w:hAnsi="Times New Roman"/>
          <w:sz w:val="18"/>
          <w:szCs w:val="18"/>
          <w:b w:val="1"/>
          <w:bCs w:val="1"/>
          <w:i w:val="1"/>
          <w:iCs w:val="1"/>
          <w:color w:val="auto"/>
        </w:rPr>
        <w:t>Extension</w:t>
      </w:r>
      <w:r>
        <w:rPr>
          <w:rFonts w:ascii="Times New Roman" w:cs="Times New Roman" w:eastAsia="Times New Roman" w:hAnsi="Times New Roman"/>
          <w:sz w:val="18"/>
          <w:szCs w:val="18"/>
          <w:color w:val="auto"/>
        </w:rPr>
        <w:t>”), and no consent of any other Party shall be required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49" w:name="page250"/>
    <w:bookmarkEnd w:id="249"/>
    <w:p>
      <w:pPr>
        <w:ind w:firstLine="1304"/>
        <w:spacing w:after="0" w:line="261" w:lineRule="auto"/>
        <w:tabs>
          <w:tab w:leader="none" w:pos="154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and except as contemplated by the terms of this Agreement or the Ancillary Documents (or as contemplated by the Financing), as required by applicable Law (including COVID-19 Measures) or as set forth on </w:t>
      </w:r>
      <w:r>
        <w:rPr>
          <w:rFonts w:ascii="Times New Roman" w:cs="Times New Roman" w:eastAsia="Times New Roman" w:hAnsi="Times New Roman"/>
          <w:sz w:val="18"/>
          <w:szCs w:val="18"/>
          <w:u w:val="single" w:color="auto"/>
          <w:color w:val="auto"/>
        </w:rPr>
        <w:t>Schedule 5.3</w:t>
      </w:r>
      <w:r>
        <w:rPr>
          <w:rFonts w:ascii="Times New Roman" w:cs="Times New Roman" w:eastAsia="Times New Roman" w:hAnsi="Times New Roman"/>
          <w:sz w:val="18"/>
          <w:szCs w:val="18"/>
          <w:color w:val="auto"/>
        </w:rPr>
        <w:t>, during the Interim Period, without the prior written consent of the Company (such consent not to be unreasonably withheld, conditioned or delayed), the Purchaser shall not, and shall cause its Subsidiaries to not:</w:t>
      </w:r>
    </w:p>
    <w:p>
      <w:pPr>
        <w:spacing w:after="0" w:line="98"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in any respect, its Organizational Documents except to effectuate the Domestication or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applicable Law;</w:t>
      </w:r>
    </w:p>
    <w:p>
      <w:pPr>
        <w:spacing w:after="0" w:line="139" w:lineRule="exact"/>
        <w:rPr>
          <w:rFonts w:ascii="Times New Roman" w:cs="Times New Roman" w:eastAsia="Times New Roman" w:hAnsi="Times New Roman"/>
          <w:sz w:val="18"/>
          <w:szCs w:val="18"/>
          <w:color w:val="auto"/>
        </w:rPr>
      </w:pPr>
    </w:p>
    <w:p>
      <w:pPr>
        <w:ind w:right="20" w:firstLine="1952"/>
        <w:spacing w:after="0" w:line="261" w:lineRule="auto"/>
        <w:tabs>
          <w:tab w:leader="none" w:pos="220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for issuance, issue, grant, sell, pledge, dispose of or propose to issue, grant, sell, pledge or dispose of any of its equity securities or any options, warrants, commitments, subscriptions or rights of any kind to acquire or sell any of its equity securities, or other securities, including any securities convertible into or exchangeable for any of its equity securities or other security interests of any class and any other equity-based awards, or engage in any hedging transaction with a third Person with respect to such securities;</w:t>
      </w:r>
    </w:p>
    <w:p>
      <w:pPr>
        <w:spacing w:after="0" w:line="112" w:lineRule="exact"/>
        <w:rPr>
          <w:rFonts w:ascii="Times New Roman" w:cs="Times New Roman" w:eastAsia="Times New Roman" w:hAnsi="Times New Roman"/>
          <w:sz w:val="18"/>
          <w:szCs w:val="18"/>
          <w:color w:val="auto"/>
        </w:rPr>
      </w:pPr>
    </w:p>
    <w:p>
      <w:pPr>
        <w:jc w:val="both"/>
        <w:ind w:right="340" w:firstLine="1952"/>
        <w:spacing w:after="0" w:line="266" w:lineRule="auto"/>
        <w:tabs>
          <w:tab w:leader="none" w:pos="225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recapitalize or reclassify any of its shares or other equity interests or issue any other securities in respect thereof or pay or set aside any dividend or other distribution (whether in cash, equity or property or any combination thereof) in respect of its shares or other equity interests, or directly or indirectly redeem, purchase or otherwise acquire or offer to acquire any of its securities;</w:t>
      </w:r>
    </w:p>
    <w:p>
      <w:pPr>
        <w:spacing w:after="0" w:line="94" w:lineRule="exact"/>
        <w:rPr>
          <w:rFonts w:ascii="Times New Roman" w:cs="Times New Roman" w:eastAsia="Times New Roman" w:hAnsi="Times New Roman"/>
          <w:sz w:val="18"/>
          <w:szCs w:val="18"/>
          <w:color w:val="auto"/>
        </w:rPr>
      </w:pPr>
    </w:p>
    <w:p>
      <w:pPr>
        <w:ind w:firstLine="1952"/>
        <w:spacing w:after="0" w:line="256" w:lineRule="auto"/>
        <w:tabs>
          <w:tab w:leader="none" w:pos="224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 create, assume, prepay or otherwise become liable for any Indebtedness (directly, contingently or otherwise) in excess of $100,000 individually or $250,000 in the aggregate, make a loan or advance to or investment in any third party, or guarantee or endorse any Indebtedness, Liability or obligation of any Person (provided, that this </w:t>
      </w:r>
      <w:r>
        <w:rPr>
          <w:rFonts w:ascii="Times New Roman" w:cs="Times New Roman" w:eastAsia="Times New Roman" w:hAnsi="Times New Roman"/>
          <w:sz w:val="18"/>
          <w:szCs w:val="18"/>
          <w:u w:val="single" w:color="auto"/>
          <w:color w:val="auto"/>
        </w:rPr>
        <w:t>Section 5.3(b)(iv)</w:t>
      </w:r>
      <w:r>
        <w:rPr>
          <w:rFonts w:ascii="Times New Roman" w:cs="Times New Roman" w:eastAsia="Times New Roman" w:hAnsi="Times New Roman"/>
          <w:sz w:val="18"/>
          <w:szCs w:val="18"/>
          <w:color w:val="auto"/>
        </w:rPr>
        <w:t xml:space="preserve"> shall not prevent the Purchaser from borrowing funds necessary to finance its ordinary course administrative costs and expenses and Expenses incurred in connection with the consummation of the Merger and the other transactions contemplated by this Agreement (including the Financing and the costs and expenses necessary for an Extension (such expenses, “</w:t>
      </w:r>
      <w:r>
        <w:rPr>
          <w:rFonts w:ascii="Times New Roman" w:cs="Times New Roman" w:eastAsia="Times New Roman" w:hAnsi="Times New Roman"/>
          <w:sz w:val="18"/>
          <w:szCs w:val="18"/>
          <w:b w:val="1"/>
          <w:bCs w:val="1"/>
          <w:i w:val="1"/>
          <w:iCs w:val="1"/>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up to aggregate additional Indebtedness during the Interim Period of $2,000,000);</w:t>
      </w:r>
    </w:p>
    <w:p>
      <w:pPr>
        <w:spacing w:after="0" w:line="119" w:lineRule="exact"/>
        <w:rPr>
          <w:rFonts w:ascii="Times New Roman" w:cs="Times New Roman" w:eastAsia="Times New Roman" w:hAnsi="Times New Roman"/>
          <w:sz w:val="18"/>
          <w:szCs w:val="18"/>
          <w:color w:val="auto"/>
        </w:rPr>
      </w:pPr>
    </w:p>
    <w:p>
      <w:pPr>
        <w:ind w:firstLine="1952"/>
        <w:spacing w:after="0" w:line="266" w:lineRule="auto"/>
        <w:tabs>
          <w:tab w:leader="none" w:pos="219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rescind any material election relating to Taxes, settle any claim, action, suit, litigation, proceeding, arbitration, investigation, audit or controversy relating to Taxes, file any amended Tax Return or claim for refund, or make any material change in its accounting or Tax policies or procedures, in each case except as required by applicable Law or in compliance with GAAP;</w:t>
      </w:r>
    </w:p>
    <w:p>
      <w:pPr>
        <w:spacing w:after="0" w:line="108"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the Trust Agreement in any manner adverse to the Purchaser;</w:t>
      </w:r>
    </w:p>
    <w:p>
      <w:pPr>
        <w:spacing w:after="0" w:line="144" w:lineRule="exact"/>
        <w:rPr>
          <w:rFonts w:ascii="Times New Roman" w:cs="Times New Roman" w:eastAsia="Times New Roman" w:hAnsi="Times New Roman"/>
          <w:sz w:val="18"/>
          <w:szCs w:val="18"/>
          <w:color w:val="auto"/>
        </w:rPr>
      </w:pPr>
    </w:p>
    <w:p>
      <w:pPr>
        <w:ind w:right="420" w:firstLine="1952"/>
        <w:spacing w:after="0" w:line="282" w:lineRule="auto"/>
        <w:tabs>
          <w:tab w:leader="none" w:pos="229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waive or assign any material right under, any Purchaser Material Contract or enter into any Contract that would be a Purchaser Material Contract, in any case outside of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its books, accounts and records in all material respects in the ordinary course of business consistent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practice;</w:t>
      </w:r>
    </w:p>
    <w:p>
      <w:pPr>
        <w:spacing w:after="0" w:line="13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Subsidiary or enter into any new line of business;</w:t>
      </w:r>
    </w:p>
    <w:p>
      <w:pPr>
        <w:spacing w:after="0" w:line="144" w:lineRule="exact"/>
        <w:rPr>
          <w:rFonts w:ascii="Times New Roman" w:cs="Times New Roman" w:eastAsia="Times New Roman" w:hAnsi="Times New Roman"/>
          <w:sz w:val="18"/>
          <w:szCs w:val="18"/>
          <w:color w:val="auto"/>
        </w:rPr>
      </w:pPr>
    </w:p>
    <w:p>
      <w:pPr>
        <w:ind w:right="60" w:firstLine="1952"/>
        <w:spacing w:after="0" w:line="266" w:lineRule="auto"/>
        <w:tabs>
          <w:tab w:leader="none" w:pos="219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w:t>
      </w:r>
    </w:p>
    <w:p>
      <w:pPr>
        <w:spacing w:after="0" w:line="108" w:lineRule="exact"/>
        <w:rPr>
          <w:rFonts w:ascii="Times New Roman" w:cs="Times New Roman" w:eastAsia="Times New Roman" w:hAnsi="Times New Roman"/>
          <w:sz w:val="18"/>
          <w:szCs w:val="18"/>
          <w:color w:val="auto"/>
        </w:rPr>
      </w:pPr>
    </w:p>
    <w:p>
      <w:pPr>
        <w:ind w:right="140" w:firstLine="1952"/>
        <w:spacing w:after="0" w:line="282" w:lineRule="auto"/>
        <w:tabs>
          <w:tab w:leader="none" w:pos="224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revalue any of its material assets or make any material change in accounting methods, principles or practices, except to the extent required to comply with GAAP and after consulting the Purchaser’s outside auditors;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50" w:name="page251"/>
    <w:bookmarkEnd w:id="250"/>
    <w:p>
      <w:pPr>
        <w:ind w:firstLine="1952"/>
        <w:spacing w:after="0" w:line="258" w:lineRule="auto"/>
        <w:tabs>
          <w:tab w:leader="none" w:pos="229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claim, action or proceeding (including any suit, action, claim, proceeding or investigation relating to this Agreement or the transactions contemplated hereby), other than waivers, releases, assignments, settlements or compromises that involve only the payment of monetary damages (and not the imposition of equitable relief on, or the admission of wrongdoing by, the Purchaser or its Subsidiary) not in excess of $100,000 (individually or in the aggregate), or otherwise pay, discharge or satisfy any Actions, Liabilities or obligations, unless such amount has been reserved in the Purchaser Financials;</w:t>
      </w:r>
    </w:p>
    <w:p>
      <w:pPr>
        <w:spacing w:after="0" w:line="102" w:lineRule="exact"/>
        <w:rPr>
          <w:rFonts w:ascii="Times New Roman" w:cs="Times New Roman" w:eastAsia="Times New Roman" w:hAnsi="Times New Roman"/>
          <w:sz w:val="18"/>
          <w:szCs w:val="18"/>
          <w:color w:val="auto"/>
        </w:rPr>
      </w:pPr>
    </w:p>
    <w:p>
      <w:pPr>
        <w:ind w:right="140" w:firstLine="1952"/>
        <w:spacing w:after="0" w:line="266" w:lineRule="auto"/>
        <w:tabs>
          <w:tab w:leader="none" w:pos="234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equity interests or assets, or any other form of business combination, any corporation, partnership, limited liability company, other business organization or any division thereof, or any material amount of assets outside the ordinary course of business;</w:t>
      </w:r>
    </w:p>
    <w:p>
      <w:pPr>
        <w:spacing w:after="0" w:line="94" w:lineRule="exact"/>
        <w:rPr>
          <w:rFonts w:ascii="Times New Roman" w:cs="Times New Roman" w:eastAsia="Times New Roman" w:hAnsi="Times New Roman"/>
          <w:sz w:val="18"/>
          <w:szCs w:val="18"/>
          <w:color w:val="auto"/>
        </w:rPr>
      </w:pPr>
    </w:p>
    <w:p>
      <w:pPr>
        <w:ind w:right="100" w:firstLine="1952"/>
        <w:spacing w:after="0" w:line="282" w:lineRule="auto"/>
        <w:tabs>
          <w:tab w:leader="none" w:pos="233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 in excess of $100,000 individually for any project (or set of related projects) or $250,000 in the aggregate (excluding for the avoidance of doubt, incurring any Expenses);</w:t>
      </w:r>
    </w:p>
    <w:p>
      <w:pPr>
        <w:spacing w:after="0" w:line="80" w:lineRule="exact"/>
        <w:rPr>
          <w:rFonts w:ascii="Times New Roman" w:cs="Times New Roman" w:eastAsia="Times New Roman" w:hAnsi="Times New Roman"/>
          <w:sz w:val="18"/>
          <w:szCs w:val="18"/>
          <w:color w:val="auto"/>
        </w:rPr>
      </w:pPr>
    </w:p>
    <w:p>
      <w:pPr>
        <w:ind w:right="280" w:firstLine="1952"/>
        <w:spacing w:after="0" w:line="282" w:lineRule="auto"/>
        <w:tabs>
          <w:tab w:leader="none" w:pos="228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recapitalization or other reorganization (other than with respect to the Merger);</w:t>
      </w:r>
    </w:p>
    <w:p>
      <w:pPr>
        <w:spacing w:after="0" w:line="80" w:lineRule="exact"/>
        <w:rPr>
          <w:rFonts w:ascii="Times New Roman" w:cs="Times New Roman" w:eastAsia="Times New Roman" w:hAnsi="Times New Roman"/>
          <w:sz w:val="18"/>
          <w:szCs w:val="18"/>
          <w:color w:val="auto"/>
        </w:rPr>
      </w:pPr>
    </w:p>
    <w:p>
      <w:pPr>
        <w:ind w:right="200" w:firstLine="1952"/>
        <w:spacing w:after="0" w:line="266" w:lineRule="auto"/>
        <w:tabs>
          <w:tab w:leader="none" w:pos="233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voluntarily incur any Liability or obligation (whether absolute, accrued, contingent or otherwise) in excess of $100,000 individually or $250,000 in the aggregate (excluding the incurrence of any Expenses) other than pursuant to the terms of a Contract in existence as of the date of this Agreement or entered into in the ordinary course of business or in accordance with the terms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during the Interim Period;</w:t>
      </w:r>
    </w:p>
    <w:p>
      <w:pPr>
        <w:spacing w:after="0" w:line="94" w:lineRule="exact"/>
        <w:rPr>
          <w:rFonts w:ascii="Times New Roman" w:cs="Times New Roman" w:eastAsia="Times New Roman" w:hAnsi="Times New Roman"/>
          <w:sz w:val="18"/>
          <w:szCs w:val="18"/>
          <w:color w:val="auto"/>
        </w:rPr>
      </w:pPr>
    </w:p>
    <w:p>
      <w:pPr>
        <w:ind w:right="180" w:firstLine="1952"/>
        <w:spacing w:after="0" w:line="282" w:lineRule="auto"/>
        <w:tabs>
          <w:tab w:leader="none" w:pos="238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pledge or encumber (including securitizations), or otherwise dispose of any material portion of its properties, assets or rights;</w:t>
      </w:r>
    </w:p>
    <w:p>
      <w:pPr>
        <w:spacing w:after="0" w:line="80"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understanding or arrangement with respect to the voting of Purchaser Securities;</w:t>
      </w:r>
    </w:p>
    <w:p>
      <w:pPr>
        <w:spacing w:after="0" w:line="144" w:lineRule="exact"/>
        <w:rPr>
          <w:rFonts w:ascii="Times New Roman" w:cs="Times New Roman" w:eastAsia="Times New Roman" w:hAnsi="Times New Roman"/>
          <w:sz w:val="18"/>
          <w:szCs w:val="18"/>
          <w:color w:val="auto"/>
        </w:rPr>
      </w:pPr>
    </w:p>
    <w:p>
      <w:pPr>
        <w:ind w:right="280" w:firstLine="1952"/>
        <w:spacing w:after="0" w:line="282" w:lineRule="auto"/>
        <w:tabs>
          <w:tab w:leader="none" w:pos="233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significantly delay or impair the obtaining of any Consents of any Governmental Authority to be obtained in connection with this Agreement;</w:t>
      </w:r>
    </w:p>
    <w:p>
      <w:pPr>
        <w:spacing w:after="0" w:line="80" w:lineRule="exact"/>
        <w:rPr>
          <w:rFonts w:ascii="Times New Roman" w:cs="Times New Roman" w:eastAsia="Times New Roman" w:hAnsi="Times New Roman"/>
          <w:sz w:val="18"/>
          <w:szCs w:val="18"/>
          <w:color w:val="auto"/>
        </w:rPr>
      </w:pPr>
    </w:p>
    <w:p>
      <w:pPr>
        <w:ind w:right="20" w:firstLine="1952"/>
        <w:spacing w:after="0" w:line="266" w:lineRule="auto"/>
        <w:tabs>
          <w:tab w:leader="none" w:pos="228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transaction or agreement with the Sponsor or any equityholder, manager, officer or employee of the Sponsor, other than with respect to any loans from the Sponsor (or any equityholder, manager, officer or employee of the Sponsor) to fund the working capital requirements of the Purchaser or in connection with any Extension;</w:t>
      </w:r>
    </w:p>
    <w:p>
      <w:pPr>
        <w:spacing w:after="0" w:line="94"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or cause to be deposited additional funds into the Trust Account other than as required for the purposes of effecting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or</w:t>
      </w:r>
    </w:p>
    <w:p>
      <w:pPr>
        <w:spacing w:after="0" w:line="1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to do any of the foregoing actions.</w:t>
      </w:r>
    </w:p>
    <w:p>
      <w:pPr>
        <w:spacing w:after="0" w:line="144"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Annual and Interim Financial Statements</w:t>
      </w:r>
      <w:r>
        <w:rPr>
          <w:rFonts w:ascii="Times New Roman" w:cs="Times New Roman" w:eastAsia="Times New Roman" w:hAnsi="Times New Roman"/>
          <w:sz w:val="18"/>
          <w:szCs w:val="18"/>
          <w:color w:val="auto"/>
        </w:rPr>
        <w:t>. During the Interim Period, within fifteen (15) calendar days following the end of each calendar month, and within thirty (30) calendar days following the end of each three-month calendar quarterly period and each fiscal year, the Company shall deliver to the Purchaser an unaudited consolidated income statement and an unaudited consolidated balance sheet of the Target Companies for the period from the Interim Balance Sheet Date through the end of such monthly or quarterly period or fiscal year and the applicable comparative period in the preceding fiscal year, in each case accompanied by a certificate of the Chief Financial Officer of the Company to the effect that all such financial statements fairly present the consolidated financial position and results of operations of the Target Companies as of the date or for the periods indicated, in accordance with GAAP, subject to year-end audit adjustments and excluding footnotes. From the date hereof through the Closing Date, the Company will also promptly deliver to the Purchaser copies of any audited consolidated financial statements of the Target Companies that the Target Companies’ certified public accountants may issue.</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Purchaser and Company Public Filings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00" w:right="20" w:firstLine="1294"/>
        <w:spacing w:after="0" w:line="281" w:lineRule="auto"/>
        <w:tabs>
          <w:tab w:leader="none" w:pos="1641"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Interim Period, the Purchaser will keep current and timely file all of its public filings with the SEC and otherwise comply in all material respects with applicable securities Laws and shall use its commercially reasonable efforts prior to the Closing to maintain the listing of the Purchaser Public Units, the Purchaser Ordinary Shares and the Purchaser Public Warrants on Nasdaq;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Parties acknowledge and agree that from and after the Closing, the Parties intend to continue to list on Nasdaq only the Purchaser Common Stock and the Purchaser Public Warrants.</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51" w:name="page252"/>
    <w:bookmarkEnd w:id="251"/>
    <w:p>
      <w:pPr>
        <w:ind w:left="60" w:right="40" w:firstLine="1294"/>
        <w:spacing w:after="0" w:line="261" w:lineRule="auto"/>
        <w:tabs>
          <w:tab w:leader="none" w:pos="161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the Company will keep current and timely file all of its public filings with the SEC and otherwise comply in all material respects with applicable securities Laws and shall use its commercially reasonable efforts prior to the Closing to maintain the listing of the Company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acknowledge and agree that from and after the Closing, the Parties do not intend to continue to list the Company Common Stock on the OTC Pink.</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40" w:right="60" w:firstLine="1304"/>
        <w:spacing w:after="0" w:line="255" w:lineRule="auto"/>
        <w:tabs>
          <w:tab w:leader="none" w:pos="150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(i) an “</w:t>
      </w:r>
      <w:r>
        <w:rPr>
          <w:rFonts w:ascii="Times New Roman" w:cs="Times New Roman" w:eastAsia="Times New Roman" w:hAnsi="Times New Roman"/>
          <w:sz w:val="18"/>
          <w:szCs w:val="18"/>
          <w:b w:val="1"/>
          <w:bCs w:val="1"/>
          <w:i w:val="1"/>
          <w:iCs w:val="1"/>
          <w:color w:val="auto"/>
        </w:rPr>
        <w:t>Acquisition Proposal</w:t>
      </w:r>
      <w:r>
        <w:rPr>
          <w:rFonts w:ascii="Times New Roman" w:cs="Times New Roman" w:eastAsia="Times New Roman" w:hAnsi="Times New Roman"/>
          <w:sz w:val="18"/>
          <w:szCs w:val="18"/>
          <w:color w:val="auto"/>
        </w:rPr>
        <w:t>” means any proposal or offer from any Person or group at any time relating to an Alternative Transaction, and (ii) an “</w:t>
      </w:r>
      <w:r>
        <w:rPr>
          <w:rFonts w:ascii="Times New Roman" w:cs="Times New Roman" w:eastAsia="Times New Roman" w:hAnsi="Times New Roman"/>
          <w:sz w:val="18"/>
          <w:szCs w:val="18"/>
          <w:b w:val="1"/>
          <w:bCs w:val="1"/>
          <w:i w:val="1"/>
          <w:iCs w:val="1"/>
          <w:color w:val="auto"/>
        </w:rPr>
        <w:t>Alternative Transaction</w:t>
      </w:r>
      <w:r>
        <w:rPr>
          <w:rFonts w:ascii="Times New Roman" w:cs="Times New Roman" w:eastAsia="Times New Roman" w:hAnsi="Times New Roman"/>
          <w:sz w:val="18"/>
          <w:szCs w:val="18"/>
          <w:color w:val="auto"/>
        </w:rPr>
        <w:t>” means (A) with respect to the Company and its Affiliates, a transaction (other than the transactions contemplated by this Agreement) concerning the sale of (x) all or any material part of the business or assets of the Target Companies (other than in the ordinary course of business consistent with past practice) or (y) any of the shares or other equity interests or profits of the Target Companies, in any case, whether such transaction takes the form of a sale of shares or other equity interests, assets, merger, consolidation, issuance of debt securities, management Contract, joint venture or partnership, or otherwise and (B) with respect to the Purchaser and its Affiliates, a transaction (other than the transactions contemplated by this Agreement) concerning a Business Combination involving Purchaser. For the avoidance of doubt, activities related to Permitted Activities shall not be deemed to be an Alternate Transaction.</w:t>
      </w:r>
    </w:p>
    <w:p>
      <w:pPr>
        <w:spacing w:after="0" w:line="121" w:lineRule="exact"/>
        <w:rPr>
          <w:rFonts w:ascii="Times New Roman" w:cs="Times New Roman" w:eastAsia="Times New Roman" w:hAnsi="Times New Roman"/>
          <w:sz w:val="18"/>
          <w:szCs w:val="18"/>
          <w:color w:val="auto"/>
        </w:rPr>
      </w:pPr>
    </w:p>
    <w:p>
      <w:pPr>
        <w:ind w:left="-40" w:firstLine="1304"/>
        <w:spacing w:after="0" w:line="253" w:lineRule="auto"/>
        <w:tabs>
          <w:tab w:leader="none" w:pos="151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in order to induce the other Parties to continue to commit to expend management time and financial resources in furtherance of the transactions contemplated hereby, each Party shall not, and shall cause its Representatives to not, without the prior written consent of the Company and the Purchaser, directly or indirectly, (i) solicit, assist, initiate or facilitate the making, submission or announcement of, or intentionally encourage, any Acquisition Proposal, (ii) furnish any non-public information regarding such Party or its Affiliates or their respective businesses, operations, assets, Liabilities, financial condition, prospects or employees to any Person or group (other than a Party to this Agreement or their respective Representatives) in connection with or in response to an Acquisition Proposal, (iii) engage or participate in discussions or negotiations with any Person or group with respect to, or is intended or would reasonably be expected to lead to, an Acquisition Proposal, (iv) approve, endorse or recommend, or publicly propose to approve, endorse or recommend, any Acquisition Proposal, (v) negotiate or enter into any letter of intent, agreement in principle, acquisition agreement or other similar agreement related to any Acquisition Proposal, or (vi) release any third Person from, or waive any provision of, any confidentiality agreement to which such Party is a party.</w:t>
      </w:r>
    </w:p>
    <w:p>
      <w:pPr>
        <w:spacing w:after="0" w:line="113" w:lineRule="exact"/>
        <w:rPr>
          <w:rFonts w:ascii="Times New Roman" w:cs="Times New Roman" w:eastAsia="Times New Roman" w:hAnsi="Times New Roman"/>
          <w:sz w:val="18"/>
          <w:szCs w:val="18"/>
          <w:color w:val="auto"/>
        </w:rPr>
      </w:pPr>
    </w:p>
    <w:p>
      <w:pPr>
        <w:ind w:left="-40" w:right="20" w:firstLine="1304"/>
        <w:spacing w:after="0" w:line="255" w:lineRule="auto"/>
        <w:tabs>
          <w:tab w:leader="none" w:pos="150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notify the others as promptly as practicable (and in any event within 48 hours) in writing of the receipt by such Party or any of its Representatives of (i) any Acquisition Proposal or any bona fide requests for information or requests for discussions or negotiations that would reasonably be expected to result in an Acquisition Proposal, and (ii) any request for non-public information relating to such Party or its Affiliates in connection with any such Acquisition Proposal, specifying in each case, the material terms and conditions thereof. Each Party shall keep the others promptly informed of the status of any such proposals, offers or requests for information. During the Interim Period, each Party shall, and shall cause its Representatives to, immediately cease and cause to be terminated any solicitations, discussions or negotiations with any Person with respect to any Acquisition Proposal and shall, and shall direct its Representatives to, cease and terminate any such solicitations, discussions or negotiations.</w:t>
      </w:r>
    </w:p>
    <w:p>
      <w:pPr>
        <w:spacing w:after="0" w:line="121" w:lineRule="exact"/>
        <w:rPr>
          <w:rFonts w:ascii="Times New Roman" w:cs="Times New Roman" w:eastAsia="Times New Roman" w:hAnsi="Times New Roman"/>
          <w:sz w:val="18"/>
          <w:szCs w:val="18"/>
          <w:color w:val="auto"/>
        </w:rPr>
      </w:pPr>
    </w:p>
    <w:p>
      <w:pPr>
        <w:ind w:left="-40" w:right="60" w:firstLine="1304"/>
        <w:spacing w:after="0" w:line="253" w:lineRule="auto"/>
        <w:tabs>
          <w:tab w:leader="none" w:pos="151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the board of directors of the Purchaser, or any committee thereof, shall not: (i) withhold, withdraw, qualify or modify (or publicly propose or resolve to withhold, withdraw, qualify or modify) the Purchaser Recommendation; (ii) approve, recommend or declare advisable, or propose publicly to approve, recommend or declare advisable, any Alternative Transaction with respect to the Purchaser; (iii) approve, recommend or declare advisable, or propose publicly to approve, recommend or declare advisable, or allow Purchaser to execute or enter into, any agreement related to an Alternative Transaction; (iv) enter into any agreement, letter of intent, or agreement in principle requiring Purchaser or the effects of which is to require to abandon, terminate or fail to consummate the transactions contemplated hereby; (v) fail to recommend against any Alternative Transaction with respect to the Purchaser; (vi) fail to re-affirm the Purchaser Recommendation at the written request of the Company within five (5) Business Days of such request; (vi) fail to include the Purchaser Recommendation in the Registration Statement and Proxy Statement; or (vii) resolve or agree in writing to do any of the foregoing. Nothing contained in this Agreement shall prohibit the Purchaser or the board of directors of the Purchaser or any committee thereof from (x) taking and disclosing to the Purchaser’s stockholders a position contemplated by Rule 14e-2(a) or Rule 14d-9 promulgated under the Exchange Act or issuing a “stop, look and listen” statement to the Purchaser’s stockholders pursuant to Rule 14d-9(f) promulgated under the Exchange Act pending disclosure of its position thereunder or (ii) directing any Person (or the Representative of that Person) who makes an Acquisition Proposal to the provisions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60" w:top="621" w:right="339" w:bottom="1440" w:gutter="0" w:footer="0" w:header="0"/>
        </w:sectPr>
      </w:pPr>
    </w:p>
    <w:bookmarkStart w:id="252" w:name="page253"/>
    <w:bookmarkEnd w:id="252"/>
    <w:p>
      <w:pPr>
        <w:ind w:right="80" w:firstLine="1304"/>
        <w:spacing w:after="0" w:line="254" w:lineRule="auto"/>
        <w:tabs>
          <w:tab w:leader="none" w:pos="154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board of directors of the Company, or any committee thereof, shall not: (i) withhold, withdraw, qualify or modify (or publicly propose or resolve to withhold, withdraw, qualify or modify) the Company Recommendation; (ii) approve, recommend or declare advisable, or propose publicly to approve, recommend or declare advisable, any Alternative Transaction with respect to the Company; (iii) approve, recommend or declare advisable, or propose publicly to approve, recommend or declare advisable, or allow the Company to execute or enter into, any agreement related to an Alternative Transaction; (iv) enter into any agreement, letter of intent, or agreement in principle requiring or the effects of which is to require the Company to abandon, terminate or fail to consummate the transactions contemplated hereby; (v) fail to recommend against any Alternative Transaction with respect to the Company; (vi) fail to re-affirm the Company Recommendation at the written request of the Purchaser within five (5) Business Days of such request; (vi) fail to include the Company Recommendation in any solicitation materials that its prepares or sends to Company Security Holders; or (vii) resolve or agree in writing to do any of the foregoing.</w:t>
      </w:r>
    </w:p>
    <w:p>
      <w:pPr>
        <w:spacing w:after="0" w:line="10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Trading</w:t>
      </w:r>
      <w:r>
        <w:rPr>
          <w:rFonts w:ascii="Times New Roman" w:cs="Times New Roman" w:eastAsia="Times New Roman" w:hAnsi="Times New Roman"/>
          <w:sz w:val="18"/>
          <w:szCs w:val="18"/>
          <w:color w:val="auto"/>
        </w:rPr>
        <w:t>. Each of the Company and the Purchaser acknowledges and agrees that it is aware, and that its Affiliates are aware (and each of their respective Representatives is aware or, upon receipt of any material nonpublic information of the Purchaser, will be advised) of the restrictions imposed by U.S. federal securities laws and the rules and regulations of the SEC and Nasdaq promulgated thereunder or otherwise (the “</w:t>
      </w:r>
      <w:r>
        <w:rPr>
          <w:rFonts w:ascii="Times New Roman" w:cs="Times New Roman" w:eastAsia="Times New Roman" w:hAnsi="Times New Roman"/>
          <w:sz w:val="18"/>
          <w:szCs w:val="18"/>
          <w:b w:val="1"/>
          <w:bCs w:val="1"/>
          <w:i w:val="1"/>
          <w:iCs w:val="1"/>
          <w:color w:val="auto"/>
        </w:rPr>
        <w:t>Federal Securities Laws</w:t>
      </w:r>
      <w:r>
        <w:rPr>
          <w:rFonts w:ascii="Times New Roman" w:cs="Times New Roman" w:eastAsia="Times New Roman" w:hAnsi="Times New Roman"/>
          <w:sz w:val="18"/>
          <w:szCs w:val="18"/>
          <w:color w:val="auto"/>
        </w:rPr>
        <w:t xml:space="preserve">”) and other applicable foreign and domestic Laws on a Person possessing material nonpublic information about a publicly traded company. Each of the Company and the Purchaser hereby agrees that, while it is in possession of such material nonpublic information, it shall not purchase or sell any securities of the other (other than to engage in the Merger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communicate such information to any third party, take any other action with respect to the other Party in violation of such Laws, or cause or encourage any third party to do any of the foregoing.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During the Interim Period, each Party shall give prompt notice to the other Parties if such Party or its Affiliates:</w:t>
      </w:r>
    </w:p>
    <w:p>
      <w:pPr>
        <w:spacing w:after="0" w:line="27" w:lineRule="exact"/>
        <w:rPr>
          <w:sz w:val="20"/>
          <w:szCs w:val="20"/>
          <w:color w:val="auto"/>
        </w:rPr>
      </w:pPr>
    </w:p>
    <w:p>
      <w:pPr>
        <w:ind w:right="80" w:firstLine="8"/>
        <w:spacing w:after="0" w:line="251" w:lineRule="auto"/>
        <w:tabs>
          <w:tab w:leader="none" w:pos="24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receives any notice or other communication in writing from any third party (including any Governmental Authority) alleging (i) that the Consent of such third party is or may be required in connection with the transactions contemplated by this Agreement or (ii) any non-compliance with any Law by such Party or its Affiliates; (b) receives any notice or other communication from any Governmental Authority in connection with the transactions contemplated by this Agreement; (c) discovers any fact or circumstance that, or becomes aware of the occurrence or non-occurrence of any event the occurrence or non-occurrence of which, would reasonably be expected to cause or result in any of the conditions to the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not being satisfied or the satisfaction of those conditions being materially delayed; or (d) becomes aware of the commencement or threat, in writing, of any Action against such Party or any of its Affiliates, or any of their respective properties or assets, or, to the Knowledge of such Party, any officer, director, partner, member or manager, in his, her or its capacity as such, of such Party or of its Affiliates with respect to the consummation of the transactions contemplated by this Agreement. No such notice shall constitute an acknowledgement or admission by the Party providing the notice regarding whether or not any of the conditions to the Closing have been satisfied or in determining whether or not any of the representations, warranties or covenants contained in this Agreement have been breached.</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Efforts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right="60" w:firstLine="1304"/>
        <w:spacing w:after="0" w:line="258" w:lineRule="auto"/>
        <w:tabs>
          <w:tab w:leader="none" w:pos="154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each Party shall use its commercially reasonable efforts, and shall cooperate fully with the other Parties, to take, or cause to be taken, all actions and to do, or cause to be done, all things reasonably necessary, proper or advisable under applicable Laws and regulations to consummate the transactions contemplated by this Agreement (including the receipt of all applicable Consents of Governmental Authorities) and to comply as promptly as practicable with all requirements of Governmental Authorities applicable to the transactions contemplated by this Agreement.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53" w:name="page254"/>
    <w:bookmarkEnd w:id="253"/>
    <w:p>
      <w:pPr>
        <w:ind w:left="-40" w:firstLine="1304"/>
        <w:spacing w:after="0" w:line="252" w:lineRule="auto"/>
        <w:tabs>
          <w:tab w:leader="none" w:pos="151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and not in limitation of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 to the extent required under any Laws that are designed to prohibit, restrict or regulate actions having the purpose or effect of monopolization or restraint of trade (“</w:t>
      </w:r>
      <w:r>
        <w:rPr>
          <w:rFonts w:ascii="Times New Roman" w:cs="Times New Roman" w:eastAsia="Times New Roman" w:hAnsi="Times New Roman"/>
          <w:sz w:val="18"/>
          <w:szCs w:val="18"/>
          <w:b w:val="1"/>
          <w:bCs w:val="1"/>
          <w:i w:val="1"/>
          <w:iCs w:val="1"/>
          <w:color w:val="auto"/>
        </w:rPr>
        <w:t>Antitrust Laws</w:t>
      </w:r>
      <w:r>
        <w:rPr>
          <w:rFonts w:ascii="Times New Roman" w:cs="Times New Roman" w:eastAsia="Times New Roman" w:hAnsi="Times New Roman"/>
          <w:sz w:val="18"/>
          <w:szCs w:val="18"/>
          <w:color w:val="auto"/>
        </w:rPr>
        <w:t xml:space="preserve">”), each Party hereto agrees to make any required filing or application under Antitrust Laws, as applicable, at such Party’s sole cost and expense (subject to the last sentence of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with respect to Antitrust Expenses), with respect to the transactions contemplated hereby as promptly as practicable, to supply as promptly as reasonably practicable any additional information and documentary material that may be reasonably requested pursuant to Antitrust Laws and to take all other actions reasonably necessary, proper or advisable to cause the expiration or termination of the applicable waiting periods under Antitrust Laws as soon as practicable, including by requesting early termination of the waiting period provided for under the Antitrust Laws. Each Party shall, in connection with its efforts to obtain all requisite approvals and authorizations for the transactions contemplated by this Agreement under any Antitrust Law, use its commercially reasonable efforts to: (i) cooperate in all respects with each other Party or its Affiliates in connection with any filing or submission and in connection with any investigation or other inquiry, including any proceeding initiated by a private Person; (ii) keep the other Parties reasonably informed of any communication received by such Party or its Representatives from, or given by such Party or its Representatives to, any Governmental Authority and of any communication received or given in connection with any proceeding by a private Person, in each case regarding any of the transactions contemplated by this Agreement; (iii) permit a Representative of the other Parties and their respective outside counsel to review any communication given by it to, and consult with each other in advance of any meeting or conference with, any Governmental Authority or, in connection with any proceeding by a private Person, with any other Person, and to the extent permitted by such Governmental Authority or other Person, give a Representative or Representatives of the other Parties the opportunity to attend and participate in such meetings and conferences; (iv) in the event a Party’s Representative is prohibited from participating in or attending any meetings or conferences, the other Parties shall keep such Party promptly and reasonably apprised with respect thereto; and (v) use commercially reasonable efforts to cooperate in the filing of any memoranda, white papers, filings, correspondence or other written communications explaining or defending the transactions contemplated hereby, articulating any regulatory or competitive argument, and/or responding to requests or objections made by any Governmental Authority.</w:t>
      </w:r>
    </w:p>
    <w:p>
      <w:pPr>
        <w:spacing w:after="0" w:line="108" w:lineRule="exact"/>
        <w:rPr>
          <w:rFonts w:ascii="Times New Roman" w:cs="Times New Roman" w:eastAsia="Times New Roman" w:hAnsi="Times New Roman"/>
          <w:sz w:val="18"/>
          <w:szCs w:val="18"/>
          <w:color w:val="auto"/>
        </w:rPr>
      </w:pPr>
    </w:p>
    <w:p>
      <w:pPr>
        <w:ind w:left="-40" w:firstLine="1304"/>
        <w:spacing w:after="0" w:line="252" w:lineRule="auto"/>
        <w:tabs>
          <w:tab w:leader="none" w:pos="149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date of this Agreement, the Parties shall reasonably cooperate with each other and use (and shall cause their respective Affiliates to use) their respective commercially reasonable efforts to prepare and file with Governmental Authorities requests for approval of the transactions contemplated by this Agreement and shall use all commercially reasonable efforts to have such Governmental Authorities approve the transactions contemplated by this Agreement. Each Party shall give prompt written notice to the other Parties if such Party or any of its Representatives receives any notice from such Governmental Authorities in connection with the transactions contemplated by this Agreement, and shall promptly furnish the other Parties with a copy of such Governmental Authority notice. If any Governmental Authority requires that a hearing or meeting be held in connection with its approval of the transactions contemplated hereby, whether prior to the Closing or after the Closing, each Party shall arrange for Representatives of such Party to be present for such hearing or meeting. If any objections are asserted with respect to the transactions contemplated by this Agreement under any applicable Law or if any Action is instituted (or threatened in writing to be instituted) by any applicable Governmental Authority or any private Person challenging any of the transactions contemplated by this Agreement or any Ancillary Document as violative of any applicable Law or which would otherwise prevent, materially impede or materially delay the consummation of the transactions contemplated hereby or thereby, the Parties shall use their commercially reasonable efforts to resolve any such objections or Actions so as to timely permit consummation of the transactions contemplated by this Agreement and the Ancillary Documents, including in order to resolve such objections or Actions which, in any case if not resolved, would reasonably be expected to prevent, materially impede or materially delay the consummation of the transactions contemplated hereby or thereby. In the event any Action is instituted (or threatened in writing to be instituted) by a Governmental Authority or private Person challenging the transactions contemplated by this Agreement, or any Ancillary Document, the Parties shall, and shall cause their respective Representatives to, reasonably cooperate with each other and use their respective commercially reasonable efforts to contest and resist any such Action and to have vacated, lifted, reversed or overturned any Order, whether temporary, preliminary or permanent, that is in effect and that prohibits, prevents or restricts consummation of the transactions contemplated by this Agreement or the Ancillary Documents.</w:t>
      </w:r>
    </w:p>
    <w:p>
      <w:pPr>
        <w:spacing w:after="0" w:line="123" w:lineRule="exact"/>
        <w:rPr>
          <w:rFonts w:ascii="Times New Roman" w:cs="Times New Roman" w:eastAsia="Times New Roman" w:hAnsi="Times New Roman"/>
          <w:sz w:val="18"/>
          <w:szCs w:val="18"/>
          <w:color w:val="auto"/>
        </w:rPr>
      </w:pPr>
    </w:p>
    <w:p>
      <w:pPr>
        <w:ind w:left="-40" w:right="160" w:firstLine="1304"/>
        <w:spacing w:after="0" w:line="261" w:lineRule="auto"/>
        <w:tabs>
          <w:tab w:leader="none" w:pos="151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each Party shall use its commercially reasonable efforts to obtain any Consents of Governmental Authorities or other third Persons as may be necessary for the consummation by such Party or its Affiliates of the transactions contemplated by this Agreement or required as a result of the execution or performance of, or consummation of the transactions contemplated by, this Agreement by such Party or its Affiliates, and the other Parties shall provide reasonable cooperation in connection with such efforts.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621" w:right="359" w:bottom="1440" w:gutter="0" w:footer="0" w:header="0"/>
        </w:sectPr>
      </w:pPr>
    </w:p>
    <w:bookmarkStart w:id="254" w:name="page255"/>
    <w:bookmarkEnd w:id="254"/>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Each of the Parties shall use its reasonable best efforts to cause the Merger to qualify as a “reorganization” within the meaning of Section 368(a) of the Code. None of the Parties shall (and each of the Parties shall cause their respective Subsidiaries not to) take any action, or fail to take any action, that would reasonably be expected to cause the Merger to fail to qualify as a “reorganization” within the meaning of Section 368(a) of the Code. The Parties intend to report and, except to the extent otherwise required by a change in Law, shall report, for federal income tax purposes, the Merger as a “reorganization” within the meaning of Section 368(a) of the Code.</w:t>
      </w:r>
    </w:p>
    <w:p>
      <w:pPr>
        <w:spacing w:after="0" w:line="10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hereto shall further cooperate with each other and use their respective commercially reasonable efforts to take or cause to be taken all actions, and do or cause to be done all things, necessary, proper or advisable on their part under this Agreement and applicable Laws to consummate the transactions contemplated by this Agreement as soon as reasonably practicable, including preparing and filing as soon as practicable all documentation to effect all necessary notices, reports and other filings.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The Registration Statement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304"/>
        <w:spacing w:after="0" w:line="251" w:lineRule="auto"/>
        <w:tabs>
          <w:tab w:leader="none" w:pos="153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date hereof, the Purchaser shall prepare with the reasonable assistance of the Company, and file with the SEC a registration statement on Form S-4 (as amended or supplemented from time to time, and including the Proxy Statement contained therein,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 connection with the registration under the Securities Act of the shares of Purchaser Common Stock to be issued under this Agreement as the Merger Consideration, which Registration Statement will also contain a proxy statement (as amended,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for the purpose of soliciting proxies from Purchaser stockholders for the matters to be acted upon at the Purchaser Special Meeting and providing the Public Stockholders an opportunity in accordance with the Purchaser’s Organizational Documents and the Purchaser IPO Prospectus to have their Purchaser Ordinary Shares redeemed (the “</w:t>
      </w:r>
      <w:r>
        <w:rPr>
          <w:rFonts w:ascii="Times New Roman" w:cs="Times New Roman" w:eastAsia="Times New Roman" w:hAnsi="Times New Roman"/>
          <w:sz w:val="18"/>
          <w:szCs w:val="18"/>
          <w:b w:val="1"/>
          <w:bCs w:val="1"/>
          <w:i w:val="1"/>
          <w:iCs w:val="1"/>
          <w:color w:val="auto"/>
        </w:rPr>
        <w:t>Closing Redemption</w:t>
      </w:r>
      <w:r>
        <w:rPr>
          <w:rFonts w:ascii="Times New Roman" w:cs="Times New Roman" w:eastAsia="Times New Roman" w:hAnsi="Times New Roman"/>
          <w:sz w:val="18"/>
          <w:szCs w:val="18"/>
          <w:color w:val="auto"/>
        </w:rPr>
        <w:t>”) in conjunction with the stockholder vote on the Purchaser Stockholder Approval Matters. The Proxy Statement shall include proxy materials for the purpose of soliciting proxies from Purchaser stockholders to vote, at a special meeting of the Purchaser’s stockholders to be called and held for such purpose (the “</w:t>
      </w:r>
      <w:r>
        <w:rPr>
          <w:rFonts w:ascii="Times New Roman" w:cs="Times New Roman" w:eastAsia="Times New Roman" w:hAnsi="Times New Roman"/>
          <w:sz w:val="18"/>
          <w:szCs w:val="18"/>
          <w:b w:val="1"/>
          <w:bCs w:val="1"/>
          <w:i w:val="1"/>
          <w:iCs w:val="1"/>
          <w:color w:val="auto"/>
        </w:rPr>
        <w:t>Purchaser Special Meeting</w:t>
      </w:r>
      <w:r>
        <w:rPr>
          <w:rFonts w:ascii="Times New Roman" w:cs="Times New Roman" w:eastAsia="Times New Roman" w:hAnsi="Times New Roman"/>
          <w:sz w:val="18"/>
          <w:szCs w:val="18"/>
          <w:color w:val="auto"/>
        </w:rPr>
        <w:t>”), in favor of resolutions approving (i) the adoption and approval of this Agreement and the transactions contemplated hereby or referred to herein, including the Merger, by the holders of Purchaser Common Stock in accordance with the Purchaser’s Organizational Documents, the DCGL and the rules and regulations of the SEC and Nasdaq; (ii) the approval of the Domestication; (iii) the adoption and approval of the Interim Purchaser Certificate of Incorporation to replace the Purchaser Organizational Documents upon the Domestication; (iv) the approval of the Final Purchaser Certificate of Incorporation to replace the Interim Purchaser Certificate of Incorporation upon the Closing; (v) the adoption and approval of a new equity incentive plan in a form to be agreed between the Purchaser and the Company acting reasonably and in good faith (the “</w:t>
      </w:r>
      <w:r>
        <w:rPr>
          <w:rFonts w:ascii="Times New Roman" w:cs="Times New Roman" w:eastAsia="Times New Roman" w:hAnsi="Times New Roman"/>
          <w:sz w:val="18"/>
          <w:szCs w:val="18"/>
          <w:b w:val="1"/>
          <w:bCs w:val="1"/>
          <w:i w:val="1"/>
          <w:iCs w:val="1"/>
          <w:color w:val="auto"/>
        </w:rPr>
        <w:t>Incentive Plan</w:t>
      </w:r>
      <w:r>
        <w:rPr>
          <w:rFonts w:ascii="Times New Roman" w:cs="Times New Roman" w:eastAsia="Times New Roman" w:hAnsi="Times New Roman"/>
          <w:sz w:val="18"/>
          <w:szCs w:val="18"/>
          <w:color w:val="auto"/>
        </w:rPr>
        <w:t xml:space="preserve">”), which will provide for awards for a number of shares of Purchaser Common Stock equal to ten percent (10%) of the aggregate number of shares of Purchaser Common Stock issued and outstanding immediately after the Closing (giving effect to the Closing Redemption); (vi) the appointment of the members of the Post-Closing Purchaser Board in accordance with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hereof; (vi) such other matters as the Company and the Purchaser shall hereafter mutually determine to be necessary or appropriate in order to effect the Merger and the other transactions contemplated by this Agreement (the approvals described in foregoing clauses (i) through (vi), collectively, the “</w:t>
      </w:r>
      <w:r>
        <w:rPr>
          <w:rFonts w:ascii="Times New Roman" w:cs="Times New Roman" w:eastAsia="Times New Roman" w:hAnsi="Times New Roman"/>
          <w:sz w:val="18"/>
          <w:szCs w:val="18"/>
          <w:b w:val="1"/>
          <w:bCs w:val="1"/>
          <w:i w:val="1"/>
          <w:iCs w:val="1"/>
          <w:color w:val="auto"/>
        </w:rPr>
        <w:t>Purchaser Stockholder Approval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Matters</w:t>
      </w:r>
      <w:r>
        <w:rPr>
          <w:rFonts w:ascii="Times New Roman" w:cs="Times New Roman" w:eastAsia="Times New Roman" w:hAnsi="Times New Roman"/>
          <w:sz w:val="18"/>
          <w:szCs w:val="18"/>
          <w:color w:val="auto"/>
        </w:rPr>
        <w:t>”); and (vii) the adjournment of the Purchaser Special Meeting, if necessary or desirable in the reasonable determination of the Purchaser. If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for which the Purchaser Special Meeting is scheduled, the Purchaser has not received proxies representing a sufficient number of shares to obtain the Required Purchaser Stockholder Approval, whether or not a quorum is present, the Purchaser may make one or more successive postponements or adjournments of the Purchaser Special Meeting. In connection with the Registration Statement, the Purchaser will file with the SEC financial and other information about the transactions contemplated by this Agreement in accordance with applicable Law and applicable proxy solicitation and registration statement rules set forth in the Purchaser’s Organizational Documents, the Companies Act and the rules and regulations of the SEC and Nasdaq. Purchaser shall cooperate and provide the Company (and its counsel) with sufficient opportunity to review and comment on the Registration Statement and any amendment or supplement thereto prior to filing the same with the SEC. The Company shall provide Purchaser with such information concerning the Target Companies and their stockholders, officers, directors, employees, assets, Liabilities, condition (financial or otherwise), business and operations that may be required or appropriate for inclusion in the Registration Statement, or in any amendments or supplements thereto.</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55" w:name="page256"/>
    <w:bookmarkEnd w:id="255"/>
    <w:p>
      <w:pPr>
        <w:ind w:firstLine="1304"/>
        <w:spacing w:after="0" w:line="253" w:lineRule="auto"/>
        <w:tabs>
          <w:tab w:leader="none" w:pos="154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take any and all reasonable and necessary actions required to satisfy the requirements of the Securities Act, the Exchange Act and other applicable Laws in connection with the Registration Statement, the Purchaser Special Meeting and the Closing Redemption. Each of the Purchaser and the Company shall, and shall cause each of its Subsidiaries to, make their respective directors, officers and employees, upon reasonable advance notice, available to the Company, the Purchaser and their respective Representatives in connection with the drafting of the public filings with respect to the transactions contemplated by this Agreement, including the Registration Statement, and responding in a timely manner to comments from the SEC. Each Party shall promptly correct any information provided by it for use in the Registration Statement (and other related materials) if and to the extent that such information is determined to have become false or misleading in any material respect or as otherwise required by applicable Laws. Purchaser shall amend or supplement the Registration Statement and cause the Registration Statement, as so amended or supplemented, to be filed with the SEC and to be disseminated to the Purchaser’s stockholders, in each case as and to the extent required by applicable Laws and subject to the terms and conditions of this Agreement and the Purchaser’s Organizational Documents.</w:t>
      </w:r>
    </w:p>
    <w:p>
      <w:pPr>
        <w:spacing w:after="0" w:line="113" w:lineRule="exact"/>
        <w:rPr>
          <w:rFonts w:ascii="Times New Roman" w:cs="Times New Roman" w:eastAsia="Times New Roman" w:hAnsi="Times New Roman"/>
          <w:sz w:val="18"/>
          <w:szCs w:val="18"/>
          <w:color w:val="auto"/>
        </w:rPr>
      </w:pPr>
    </w:p>
    <w:p>
      <w:pPr>
        <w:ind w:right="20" w:firstLine="1304"/>
        <w:spacing w:after="0" w:line="256" w:lineRule="auto"/>
        <w:tabs>
          <w:tab w:leader="none" w:pos="153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with the assistance of the other Parties, shall promptly respond to any SEC comments on the Registration Statement and shall otherwise use its commercially reasonable efforts to cause the Registration Statement to “clear” comments from the SEC and become effective. Purchaser shall provide the Company with copies of any written comments, and shall inform the Company of any material oral comments, that the Purchaser or its Representatives receive from the SEC or its staff with respect to the Registration Statement, the Purchaser Special Meeting and the Closing Redemption promptly after the receipt of such comments and shall give the Company a reasonable opportunity under the circumstances to review and comment on any proposed written or material oral responses to such comments.</w:t>
      </w:r>
    </w:p>
    <w:p>
      <w:pPr>
        <w:spacing w:after="0" w:line="119" w:lineRule="exact"/>
        <w:rPr>
          <w:rFonts w:ascii="Times New Roman" w:cs="Times New Roman" w:eastAsia="Times New Roman" w:hAnsi="Times New Roman"/>
          <w:sz w:val="18"/>
          <w:szCs w:val="18"/>
          <w:color w:val="auto"/>
        </w:rPr>
      </w:pPr>
    </w:p>
    <w:p>
      <w:pPr>
        <w:ind w:right="260" w:firstLine="1304"/>
        <w:spacing w:after="0" w:line="261" w:lineRule="auto"/>
        <w:tabs>
          <w:tab w:leader="none" w:pos="154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Registration Statement “clearing” comments from the SEC and becoming effective, the Purchaser shall distribute the Registration Statement to the Purchaser’s stockholders and the Company Stockholders, and, pursuant thereto, shall call the Purchaser Special Meeting in accordance with the Companies Act for a date no later than thirty (30) days following the effectiveness of the Registration Statement.</w:t>
      </w:r>
    </w:p>
    <w:p>
      <w:pPr>
        <w:spacing w:after="0" w:line="112" w:lineRule="exact"/>
        <w:rPr>
          <w:rFonts w:ascii="Times New Roman" w:cs="Times New Roman" w:eastAsia="Times New Roman" w:hAnsi="Times New Roman"/>
          <w:sz w:val="18"/>
          <w:szCs w:val="18"/>
          <w:color w:val="auto"/>
        </w:rPr>
      </w:pPr>
    </w:p>
    <w:p>
      <w:pPr>
        <w:ind w:right="100" w:firstLine="1304"/>
        <w:spacing w:after="0" w:line="266" w:lineRule="auto"/>
        <w:tabs>
          <w:tab w:leader="none" w:pos="153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comply with all applicable Laws, any applicable rules and regulations of Nasdaq, the Purchaser’s Organizational Documents and this Agreement in the preparation, filing and distribution of the Registration Statement, any solicitation of proxies thereunder, the calling and holding of the Purchaser Special Meeting and the Closing Redemption.</w:t>
      </w:r>
    </w:p>
    <w:p>
      <w:pPr>
        <w:spacing w:after="0" w:line="95"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Company Stockholder Meeting</w:t>
      </w:r>
      <w:r>
        <w:rPr>
          <w:rFonts w:ascii="Times New Roman" w:cs="Times New Roman" w:eastAsia="Times New Roman" w:hAnsi="Times New Roman"/>
          <w:sz w:val="18"/>
          <w:szCs w:val="18"/>
          <w:color w:val="auto"/>
        </w:rPr>
        <w:t>. As promptly as practicable after the Registration Statement has become effective, the Company will call a meeting of its stockholders in order to obtain the Required Company Stockholder Approval (the “</w:t>
      </w:r>
      <w:r>
        <w:rPr>
          <w:rFonts w:ascii="Times New Roman" w:cs="Times New Roman" w:eastAsia="Times New Roman" w:hAnsi="Times New Roman"/>
          <w:sz w:val="18"/>
          <w:szCs w:val="18"/>
          <w:b w:val="1"/>
          <w:bCs w:val="1"/>
          <w:i w:val="1"/>
          <w:iCs w:val="1"/>
          <w:color w:val="auto"/>
        </w:rPr>
        <w:t>Company Special Meeting</w:t>
      </w:r>
      <w:r>
        <w:rPr>
          <w:rFonts w:ascii="Times New Roman" w:cs="Times New Roman" w:eastAsia="Times New Roman" w:hAnsi="Times New Roman"/>
          <w:sz w:val="18"/>
          <w:szCs w:val="18"/>
          <w:color w:val="auto"/>
        </w:rPr>
        <w:t>”) or seek approval by an action by written consent, and the Company shall use its reasonable best efforts to solicit from the Company Stockholders proxies in favor of the Required Company Stockholder Approval prior to such Company Special Meeting, and to take all other actions necessary or advisable to secure the Required Company Stockholder Approval, including enforcing the Voting Agreements.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304"/>
        <w:spacing w:after="0" w:line="256" w:lineRule="auto"/>
        <w:tabs>
          <w:tab w:leader="none" w:pos="153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during the Interim Period no public release, filing or announcement concerning this Agreement or the Ancillary Documents or the transactions contemplated hereby or thereby shall be issued by any Party or any of their Affiliates without the prior written consent of the Purchaser and the Company (which consent shall not be unreasonably withheld, conditioned or delayed), except as such release or announcement may be required by applicable Law or the rules or regulations of any securities exchange, in which case the applicable Party shall use commercially reasonable efforts to allow the other Parties reasonable time to comment on, and arrange for any required filing with respect to, such release or announcement in advance of such issuance.</w:t>
      </w:r>
    </w:p>
    <w:p>
      <w:pPr>
        <w:spacing w:after="0" w:line="106" w:lineRule="exact"/>
        <w:rPr>
          <w:rFonts w:ascii="Times New Roman" w:cs="Times New Roman" w:eastAsia="Times New Roman" w:hAnsi="Times New Roman"/>
          <w:sz w:val="18"/>
          <w:szCs w:val="18"/>
          <w:color w:val="auto"/>
        </w:rPr>
      </w:pPr>
    </w:p>
    <w:p>
      <w:pPr>
        <w:ind w:firstLine="1304"/>
        <w:spacing w:after="0" w:line="252" w:lineRule="auto"/>
        <w:tabs>
          <w:tab w:leader="none" w:pos="154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mutually agree upon and, as promptly as practicable after the execution of this Agreement (but in any event within four (4) Business Days thereafter), issue a press release announcing the execution of this Agreement (the “</w:t>
      </w:r>
      <w:r>
        <w:rPr>
          <w:rFonts w:ascii="Times New Roman" w:cs="Times New Roman" w:eastAsia="Times New Roman" w:hAnsi="Times New Roman"/>
          <w:sz w:val="18"/>
          <w:szCs w:val="18"/>
          <w:b w:val="1"/>
          <w:bCs w:val="1"/>
          <w:i w:val="1"/>
          <w:iCs w:val="1"/>
          <w:color w:val="auto"/>
        </w:rPr>
        <w:t>Signing Press Release</w:t>
      </w:r>
      <w:r>
        <w:rPr>
          <w:rFonts w:ascii="Times New Roman" w:cs="Times New Roman" w:eastAsia="Times New Roman" w:hAnsi="Times New Roman"/>
          <w:sz w:val="18"/>
          <w:szCs w:val="18"/>
          <w:color w:val="auto"/>
        </w:rPr>
        <w:t>”). Promptly after the issuance of the Signing Press Release, each of the Purchaser and the Company shall file a current report on Form 8-K (the “</w:t>
      </w:r>
      <w:r>
        <w:rPr>
          <w:rFonts w:ascii="Times New Roman" w:cs="Times New Roman" w:eastAsia="Times New Roman" w:hAnsi="Times New Roman"/>
          <w:sz w:val="18"/>
          <w:szCs w:val="18"/>
          <w:b w:val="1"/>
          <w:bCs w:val="1"/>
          <w:i w:val="1"/>
          <w:iCs w:val="1"/>
          <w:color w:val="auto"/>
        </w:rPr>
        <w:t>Signing Filing</w:t>
      </w:r>
      <w:r>
        <w:rPr>
          <w:rFonts w:ascii="Times New Roman" w:cs="Times New Roman" w:eastAsia="Times New Roman" w:hAnsi="Times New Roman"/>
          <w:sz w:val="18"/>
          <w:szCs w:val="18"/>
          <w:color w:val="auto"/>
        </w:rPr>
        <w:t>”) with the Signing Press Release and a description of this Agreement as required by Federal Securities Laws, which the Company shall review, comment upon and approve (which approval shall not be unreasonably withheld, conditioned or delayed) prior to filing (with the Purchaser and the Company reviewing, commenting upon and approving each other’s Signing Filing in any event no later than the third (3</w:t>
      </w:r>
      <w:r>
        <w:rPr>
          <w:rFonts w:ascii="Times New Roman" w:cs="Times New Roman" w:eastAsia="Times New Roman" w:hAnsi="Times New Roman"/>
          <w:sz w:val="8"/>
          <w:szCs w:val="8"/>
          <w:color w:val="auto"/>
        </w:rPr>
        <w:t>rd</w:t>
      </w:r>
      <w:r>
        <w:rPr>
          <w:rFonts w:ascii="Times New Roman" w:cs="Times New Roman" w:eastAsia="Times New Roman" w:hAnsi="Times New Roman"/>
          <w:sz w:val="18"/>
          <w:szCs w:val="18"/>
          <w:color w:val="auto"/>
        </w:rPr>
        <w:t>) Business Day after the execution of this Agreement). The Parties shall mutually agree upon and, as promptly as practicable after the Closing (but in any event within four (4) Business Days thereafter), issue a press release announcing the consummation of the transactions contemplated by this Agreement (the “</w:t>
      </w:r>
      <w:r>
        <w:rPr>
          <w:rFonts w:ascii="Times New Roman" w:cs="Times New Roman" w:eastAsia="Times New Roman" w:hAnsi="Times New Roman"/>
          <w:sz w:val="18"/>
          <w:szCs w:val="18"/>
          <w:b w:val="1"/>
          <w:bCs w:val="1"/>
          <w:i w:val="1"/>
          <w:iCs w:val="1"/>
          <w:color w:val="auto"/>
        </w:rPr>
        <w:t>Closing Press Release</w:t>
      </w:r>
      <w:r>
        <w:rPr>
          <w:rFonts w:ascii="Times New Roman" w:cs="Times New Roman" w:eastAsia="Times New Roman" w:hAnsi="Times New Roman"/>
          <w:sz w:val="18"/>
          <w:szCs w:val="18"/>
          <w:color w:val="auto"/>
        </w:rPr>
        <w:t>”). Promptly after the issuance of the Closing Press Release, the Purchaser shall file a current report on Form 8-K (the “</w:t>
      </w:r>
      <w:r>
        <w:rPr>
          <w:rFonts w:ascii="Times New Roman" w:cs="Times New Roman" w:eastAsia="Times New Roman" w:hAnsi="Times New Roman"/>
          <w:sz w:val="18"/>
          <w:szCs w:val="18"/>
          <w:b w:val="1"/>
          <w:bCs w:val="1"/>
          <w:i w:val="1"/>
          <w:iCs w:val="1"/>
          <w:color w:val="auto"/>
        </w:rPr>
        <w:t>Closing Filing</w:t>
      </w:r>
      <w:r>
        <w:rPr>
          <w:rFonts w:ascii="Times New Roman" w:cs="Times New Roman" w:eastAsia="Times New Roman" w:hAnsi="Times New Roman"/>
          <w:sz w:val="18"/>
          <w:szCs w:val="18"/>
          <w:color w:val="auto"/>
        </w:rPr>
        <w:t>”) with the Closing Press Release and a description of the Closing as required by Federal Securities Laws. In connection with the preparation of the Signing Press Release, the Signing Filing, the Closing Filing, the Closing Press Release, or any other report, statement, filing notice or application made by or on behalf of a Party to any Governmental Authority or other third party in connection with the transactions contemplated hereby, each Party shall, upon request by any other Party, furnish the Parties with all information concerning themselves, their respective directors, officers and equity holders, and such other matters as may be reasonably necessary or advisable in connection with the transactions contemplated hereby, or any other report, statement, filing, notice or application made by or on behalf of a Party to any third party and/or any Governmental Authority in connection with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56" w:name="page257"/>
    <w:bookmarkEnd w:id="256"/>
    <w:p>
      <w:pPr>
        <w:ind w:left="44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firstLine="1304"/>
        <w:spacing w:after="0" w:line="252" w:lineRule="auto"/>
        <w:tabs>
          <w:tab w:leader="none" w:pos="153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hereby agrees that, during the Interim Period and, in the event that this Agreement is terminated in accordance with Article VII, for a period of two (2) years after such termination, it shall, and shall cause its Representatives to: (i) treat and hold in strict confidence any Purchaser Confidential Information, and will not use for any purpose (except in connection with the consummation of the transactions contemplated by this Agreement or the Ancillary Documents, performing their obligations hereunder or thereunder, enforcing their rights hereunder or thereunder, or in furtherance of their authorized duties on behalf of the Purchaser or its Subsidiaries), nor directly or indirectly disclose, distribute, publish, disseminate or otherwise make available to any third party any of the Purchaser Confidential Information without the Purchaser’s prior written consent; and (ii) in the event that the Company or any of its Representatives, during the Interim Period or, in the event that this Agreement is terminated in accordance with Article VII, for a period of two (2) years after such termination, becomes legally compelled to disclose any Purchaser Confidential Information, (A) provide the Purchaser to the extent legally permitted with prompt written notice of such requirement so that the Purchaser or an Affiliate thereof may seek, at Purchaser’s cost, a protective Order or other remedy or waive compliance with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xml:space="preserve">, and (B) in the event that such protective Order or other remedy is not obtained, or the Purchaser waives compliance with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furnish only that portion of such Purchaser Confidential Information which is legally required to be provided as advised in writing by outside counsel and to exercise its commercially reasonable efforts to obtain assurances that confidential treatment will be accorded such Purchaser Confidential Information. In the event that this Agreement is terminated and the transactions contemplated hereby are not consummated, the Company shall, and shall cause its Representatives to, promptly deliver to the Purchaser or destroy (at Purchaser’s election) any and all copies (in whatever form or medium) of Purchaser Confidential Information and destroy all notes, memoranda, summaries, analyses, compilations and other writings related thereto or based thereon; provided, however, that the Company and its Representatives shall be entitled to keep any records required by applicable Law or bona fide record retention policies; and provided, further, that any Purchaser Confidential Information that is not returned or destroyed shall remain subject to the confidentiality obligations set forth in this Agreement.</w:t>
      </w:r>
    </w:p>
    <w:p>
      <w:pPr>
        <w:spacing w:after="0" w:line="12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agrees that during the Interim Period and, in the event that this Agreement is terminated in accordance</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for a period of two (2) years after such termination, it shall, and shall cause its Representatives to: (i) treat and hold in strict confidence any Company Confidential Information, and will not use for any purpose (except in connection with the consummation of the transactions contemplated by this Agreement or the Ancillary Documents, performing its obligations hereunder or thereunder or enforcing its rights hereunder or thereunder), nor directly or indirectly disclose, distribute, publish, disseminate or otherwise make available to any third party any of the Company Confidential Information without the Company’s prior written consent; and (ii) in the event that the Purchaser or any of its Representatives, during the Interim Period or, in the event that this Agreement is terminated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for a period of two (2) years after such termination (and continuing with respect to Company Confidential Information that is a Trade Secret so long as such Trade Secret is protectable under applicable Law), becomes legally compelled to disclose any Company Confidential Information, (A) provide the Company to the extent legally permitted with prompt written notice of such requirement so that the Company may seek, at the Company’s sole expense, a protective Order or other remedy or waive compliance with this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color w:val="auto"/>
        </w:rPr>
        <w:t xml:space="preserve"> and (B) in the event that such protective Order or other remedy is not obtained, or the Company waives compliance with this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color w:val="auto"/>
        </w:rPr>
        <w:t>, furnish only that portion of such Company Confidential Information which is legally required to be provided as advised in writing by outside counsel and to exercise its commercially reasonable efforts to obtain assurances that confidential treatment will be accorded such Company Confidential Information. In the event that this Agreement is terminated and the transactions contemplated hereby are not consummated, the Purchaser shall, and shall cause its Representatives to, promptly deliver to the Company or destroy (at the Purchaser’s election) any and all copies (in whatever form or medium) of Company Confidential Information and destroy all notes, memoranda, summaries, analyses, compilations and other writings related thereto or based thereon; provided, however, that the Purchaser and its Representatives shall be entitled to keep any records required by applicable Law or bona fide record retention policies; and provided, further, that any Company Confidential Information that is not returned or destroyed shall remain subject to the confidentiality obligations set forth in this Agreement. Notwithstanding the foregoing, the Purchaser and its Representatives shall be permitted to disclose any and all Company Confidential Information to the extent required by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57" w:name="page258"/>
    <w:bookmarkEnd w:id="257"/>
    <w:p>
      <w:pPr>
        <w:ind w:left="420"/>
        <w:spacing w:after="0"/>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Post-Closing Board of Directors and Executive Officers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0" w:firstLine="1304"/>
        <w:spacing w:after="0" w:line="253" w:lineRule="auto"/>
        <w:tabs>
          <w:tab w:leader="none" w:pos="151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necessary action, including causing the directors of the Purchaser to resign, so that as of the Effective Time (and giving effect to the effectiveness of the Final Purchaser Certificate of Incorporation), the Purchaser’s board of directors (the “</w:t>
      </w:r>
      <w:r>
        <w:rPr>
          <w:rFonts w:ascii="Times New Roman" w:cs="Times New Roman" w:eastAsia="Times New Roman" w:hAnsi="Times New Roman"/>
          <w:sz w:val="18"/>
          <w:szCs w:val="18"/>
          <w:b w:val="1"/>
          <w:bCs w:val="1"/>
          <w:i w:val="1"/>
          <w:iCs w:val="1"/>
          <w:color w:val="auto"/>
        </w:rPr>
        <w:t>Post-Closing 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will consist of seven (7) individuals, comprised of (i) five (5) directors designated by the Company, at least three (3) of whom shall qualify 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director under the Securities Act and the listing standards of Nasdaq, and (ii) two (2) directors designated by the Purchaser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Designees</w:t>
      </w:r>
      <w:r>
        <w:rPr>
          <w:rFonts w:ascii="Times New Roman" w:cs="Times New Roman" w:eastAsia="Times New Roman" w:hAnsi="Times New Roman"/>
          <w:sz w:val="18"/>
          <w:szCs w:val="18"/>
          <w:color w:val="auto"/>
        </w:rPr>
        <w:t>”), at least one (1) of whom shall qualify as an independent director under the Securities Act and the listing standards of Nasdaq, in each case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subject to each individual’s ability and willingness to serve and who shall serve until such individual’s successor is duly elected or appointed and qualified in accordance with applicable Law. The parties will use commercially reasonable efforts to identify the designees in advance of and for inclusion in the Proxy Statement. In the event any designee becomes unable or unwilling to serve prior to the Effective Time on the Parent Board in the role identified, a replacement for such designee shall be determined prior to the Effective Time in accordance with the principles set forth in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The Purchaser will enter into customary indemnification agreements with such designees, including the Purchaser Designees, in form and substance reasonably acceptable to them.</w:t>
      </w:r>
    </w:p>
    <w:p>
      <w:pPr>
        <w:spacing w:after="0" w:line="124"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52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action necessary, including causing the executive officers of the Purchaser to resign, so that the individuals serving as the chief executive officer and chief financial officer, respectively, of the Purchaser immediately after the Closing will be the same individuals (in the same office) as that of the Company immediately prior to the Closing (unless, at its sole discretion, the Company desires to appoint another qualified person to either such role, in which case, such other person identified by the Company shall serve in such role).</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Indemnification of Directors and Officers; Tail Insurance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0" w:firstLine="1304"/>
        <w:spacing w:after="0" w:line="253" w:lineRule="auto"/>
        <w:tabs>
          <w:tab w:leader="none" w:pos="151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all rights to exculpation, indemnification and advancement of expenses existing in favor of the current or former directors and officers of the Purchaser or Merger Sub and each Person who served as a director, officer, member, trustee or fiduciary of another corporation, partnership, joint venture, trust, pension or other employee benefit plan or enterprise at the request of the Purchaser or Merger Sub (the “</w:t>
      </w:r>
      <w:r>
        <w:rPr>
          <w:rFonts w:ascii="Times New Roman" w:cs="Times New Roman" w:eastAsia="Times New Roman" w:hAnsi="Times New Roman"/>
          <w:sz w:val="18"/>
          <w:szCs w:val="18"/>
          <w:b w:val="1"/>
          <w:bCs w:val="1"/>
          <w:i w:val="1"/>
          <w:iCs w:val="1"/>
          <w:color w:val="auto"/>
        </w:rPr>
        <w:t>D&amp;O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Indemnified Persons</w:t>
      </w:r>
      <w:r>
        <w:rPr>
          <w:rFonts w:ascii="Times New Roman" w:cs="Times New Roman" w:eastAsia="Times New Roman" w:hAnsi="Times New Roman"/>
          <w:sz w:val="18"/>
          <w:szCs w:val="18"/>
          <w:color w:val="auto"/>
        </w:rPr>
        <w:t>”) as provided in their respective Organizational Documents or under any indemnification, employment or other similar agreements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between any D&amp;O Indemnified Person and the Purchaser or Merger Sub, in each case as in effect on the date of this Agreement, shall survive the Closing and continue in full force and effect in accordance with their respective terms to the extent permitted by applicable Law. For a period of six (6) years after the Effective Time, the Purchaser shall cause the Organizational Documents of the Purchaser and the Surviving Corporation to contain provisions no less favorable with respect to exculpation and indemnification of and advancement of expenses to D&amp;O Indemnified Persons than are set forth as of the date of this Agreement in the Organizational Documents of the Purchaser and Merger Sub to the extent permitted by applicable Law.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shall survive the consummation of the Merger and are intended to be for the benefit of, and shall be enforceable by, each of the D&amp;O Indemnified Persons and their respective heirs and representatives.</w:t>
      </w:r>
    </w:p>
    <w:p>
      <w:pPr>
        <w:spacing w:after="0" w:line="124" w:lineRule="exact"/>
        <w:rPr>
          <w:rFonts w:ascii="Times New Roman" w:cs="Times New Roman" w:eastAsia="Times New Roman" w:hAnsi="Times New Roman"/>
          <w:sz w:val="18"/>
          <w:szCs w:val="18"/>
          <w:color w:val="auto"/>
        </w:rPr>
      </w:pPr>
    </w:p>
    <w:p>
      <w:pPr>
        <w:ind w:left="-20" w:right="20" w:firstLine="1304"/>
        <w:spacing w:after="0" w:line="256" w:lineRule="auto"/>
        <w:tabs>
          <w:tab w:leader="none" w:pos="153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benefit of the Purchaser’s and Merger Sub’s directors and officers, the Purchaser shall be permitted prior to the Effective Time to obtain and fully pay the premium for a “tail” insurance policy that provides coverage for up to a six-year period from and after the Effective Time for events occurring prior to the Effective Time (the “</w:t>
      </w:r>
      <w:r>
        <w:rPr>
          <w:rFonts w:ascii="Times New Roman" w:cs="Times New Roman" w:eastAsia="Times New Roman" w:hAnsi="Times New Roman"/>
          <w:sz w:val="18"/>
          <w:szCs w:val="18"/>
          <w:b w:val="1"/>
          <w:bCs w:val="1"/>
          <w:i w:val="1"/>
          <w:iCs w:val="1"/>
          <w:color w:val="auto"/>
        </w:rPr>
        <w:t>Purchaser D&amp;O Tail Insurance</w:t>
      </w:r>
      <w:r>
        <w:rPr>
          <w:rFonts w:ascii="Times New Roman" w:cs="Times New Roman" w:eastAsia="Times New Roman" w:hAnsi="Times New Roman"/>
          <w:sz w:val="18"/>
          <w:szCs w:val="18"/>
          <w:color w:val="auto"/>
        </w:rPr>
        <w:t>”) that is substantially equivalent to and in any event not less favorable in the aggregate than the Purchaser’s existing policy or, if substantially equivalent insurance coverage is unavailable, the best available coverage. If obtained, the Purchaser shall maintain the Purchaser D&amp;O Tail Insurance in full force and effect, and continue to honor the obligations thereunder, and the Purchaser shall timely pay or caused to be paid all premiums with respect to the Purchaser D&amp;O Tail Insurance.</w:t>
      </w:r>
    </w:p>
    <w:p>
      <w:pPr>
        <w:spacing w:after="0" w:line="119" w:lineRule="exact"/>
        <w:rPr>
          <w:rFonts w:ascii="Times New Roman" w:cs="Times New Roman" w:eastAsia="Times New Roman" w:hAnsi="Times New Roman"/>
          <w:sz w:val="18"/>
          <w:szCs w:val="18"/>
          <w:color w:val="auto"/>
        </w:rPr>
      </w:pPr>
    </w:p>
    <w:p>
      <w:pPr>
        <w:ind w:left="-20" w:right="180" w:firstLine="1304"/>
        <w:spacing w:after="0" w:line="255" w:lineRule="auto"/>
        <w:tabs>
          <w:tab w:leader="none" w:pos="152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benefit of the Company’s and its Subsidiary’s directors, managers and officers, the Company shall be permitted prior to the Effective Time to obtain and fully pay the premium for a “tail” insurance policy that provides coverage for up to a six-year period from and after the Effective Time for events occurring prior to the Effective Time (the “</w:t>
      </w:r>
      <w:r>
        <w:rPr>
          <w:rFonts w:ascii="Times New Roman" w:cs="Times New Roman" w:eastAsia="Times New Roman" w:hAnsi="Times New Roman"/>
          <w:sz w:val="18"/>
          <w:szCs w:val="18"/>
          <w:b w:val="1"/>
          <w:bCs w:val="1"/>
          <w:i w:val="1"/>
          <w:iCs w:val="1"/>
          <w:color w:val="auto"/>
        </w:rPr>
        <w:t>Company D&amp;O Tail Insurance</w:t>
      </w:r>
      <w:r>
        <w:rPr>
          <w:rFonts w:ascii="Times New Roman" w:cs="Times New Roman" w:eastAsia="Times New Roman" w:hAnsi="Times New Roman"/>
          <w:sz w:val="18"/>
          <w:szCs w:val="18"/>
          <w:color w:val="auto"/>
        </w:rPr>
        <w:t>”) that is substantially equivalent to and in any event not less favorable in the aggregate than the Company’s existing policy or, if substantially equivalent insurance coverage is unavailable, the best available coverage. If obtained, the Purchaser shall maintain the Company D&amp;O Tail Insurance in full force and effect from and after the Closing, and continue to honor the obligations thereunder, and the Purchaser shall from and after the Closing timely pay or cause to be paid all premiums with respect to the Company D&amp;O Tail Insurance.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258" w:name="page259"/>
    <w:bookmarkEnd w:id="258"/>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Trust Account Proceeds</w:t>
      </w:r>
      <w:r>
        <w:rPr>
          <w:rFonts w:ascii="Times New Roman" w:cs="Times New Roman" w:eastAsia="Times New Roman" w:hAnsi="Times New Roman"/>
          <w:sz w:val="18"/>
          <w:szCs w:val="18"/>
          <w:color w:val="auto"/>
        </w:rPr>
        <w:t>. The Parties agree that after the Closing, the funds in the Trust Account, after taking into account payments for the Closing Redemption, shall first be used to pay (i) the Purchaser’s accrued Expenses, (ii) the Purchaser’s deferred Expenses (including cash amounts payable to the Purchaser IPO Underwriters and any legal fees) of the Purchaser IPO and (iii) any loans owed by the Purchaser to the Sponsor for any Expenses (including deferred Expenses), other administrative costs and expenses incurred by or on behalf of the Purchaser or Extension Expenses and (iii) any other Liabilities of the Purchaser as of the Closing. Such Expenses, as well as any Expenses that are required to be paid by delivery of the Purchaser’s securities, will be paid at the Closing. Any remaining cash will be used for working capital and general corporate purposes of the Purchaser and the Surviving Corporation.</w:t>
      </w:r>
    </w:p>
    <w:p>
      <w:pPr>
        <w:spacing w:after="0" w:line="10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If the Purchaser and the Company determine in good faith during the Interim Period that financing (whether through a private placement, backstop arrangement or otherwise) is reasonably required prior to the Closing (“</w:t>
      </w:r>
      <w:r>
        <w:rPr>
          <w:rFonts w:ascii="Times New Roman" w:cs="Times New Roman" w:eastAsia="Times New Roman" w:hAnsi="Times New Roman"/>
          <w:sz w:val="18"/>
          <w:szCs w:val="18"/>
          <w:b w:val="1"/>
          <w:bCs w:val="1"/>
          <w:i w:val="1"/>
          <w:iCs w:val="1"/>
          <w:color w:val="auto"/>
        </w:rPr>
        <w:t>Financing</w:t>
      </w:r>
      <w:r>
        <w:rPr>
          <w:rFonts w:ascii="Times New Roman" w:cs="Times New Roman" w:eastAsia="Times New Roman" w:hAnsi="Times New Roman"/>
          <w:sz w:val="18"/>
          <w:szCs w:val="18"/>
          <w:color w:val="auto"/>
        </w:rPr>
        <w:t>”), the Parties shall reasonably cooperate, and cause their Representatives to reasonably cooperate, in evaluating, negotiating, and implementing such Financing (including, in the case of the Company, if requested by the Purchaser, assisting with the preparation of marketing materials and financing disclosure documents and having its Chief Executive Officer and other senior management reasonably available to participate in conversations, presentations and meetings with potential investors).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304"/>
        <w:spacing w:after="0" w:line="261" w:lineRule="auto"/>
        <w:tabs>
          <w:tab w:leader="none" w:pos="154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(i) the Purchaser shall use its commercially reasonable efforts to ensure that the Purchaser remains listed as a public company on, and for Purchaser Ordinary Shares, Purchaser Public Warrants and Purchaser Public Units to be listed on, Nasdaq, and (ii) the Company shall use its commercially reasonable efforts to ensure that the Company remains listed as a public company on, and for shares of Company Common Stock to be listed on, the OTC Pink.</w:t>
      </w:r>
    </w:p>
    <w:p>
      <w:pPr>
        <w:spacing w:after="0" w:line="98" w:lineRule="exact"/>
        <w:rPr>
          <w:rFonts w:ascii="Times New Roman" w:cs="Times New Roman" w:eastAsia="Times New Roman" w:hAnsi="Times New Roman"/>
          <w:sz w:val="18"/>
          <w:szCs w:val="18"/>
          <w:color w:val="auto"/>
        </w:rPr>
      </w:pPr>
    </w:p>
    <w:p>
      <w:pPr>
        <w:ind w:right="20" w:firstLine="1304"/>
        <w:spacing w:after="0" w:line="266" w:lineRule="auto"/>
        <w:tabs>
          <w:tab w:leader="none" w:pos="154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use its commercially reasonable efforts to cause the Purchaser Common Stock to be issued in connection with the transactions to be approved for listing on Nasdaq as promptly as practicable following the issuance thereof, subject to official notice of issuance, prior to the Closing Date.</w:t>
      </w:r>
    </w:p>
    <w:p>
      <w:pPr>
        <w:spacing w:after="0" w:line="10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The Purchaser shall effect the Domestication at least one (1) Business Day prior to the Closing Date pursuant to and in accordance with Section 388 of the DGCL and Section 184 of the Companies Act, on terms and using Domestication documentation reasonably acceptable to the Company.</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CLOSING CONDITIONS</w:t>
      </w:r>
    </w:p>
    <w:p>
      <w:pPr>
        <w:spacing w:after="0" w:line="12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Each Party’s Obligations</w:t>
      </w:r>
      <w:r>
        <w:rPr>
          <w:rFonts w:ascii="Times New Roman" w:cs="Times New Roman" w:eastAsia="Times New Roman" w:hAnsi="Times New Roman"/>
          <w:sz w:val="18"/>
          <w:szCs w:val="18"/>
          <w:color w:val="auto"/>
        </w:rPr>
        <w:t>. The obligations of each Party to consummate the Merger and the other transactions described herein shall be subject to the satisfaction or written waiver (where permissible) by the Company and the Purchaser of the following conditions:</w:t>
      </w:r>
    </w:p>
    <w:p>
      <w:pPr>
        <w:spacing w:after="0" w:line="92" w:lineRule="exact"/>
        <w:rPr>
          <w:sz w:val="20"/>
          <w:szCs w:val="20"/>
          <w:color w:val="auto"/>
        </w:rPr>
      </w:pPr>
    </w:p>
    <w:p>
      <w:pPr>
        <w:ind w:right="120" w:firstLine="1304"/>
        <w:spacing w:after="0" w:line="261" w:lineRule="auto"/>
        <w:tabs>
          <w:tab w:leader="none" w:pos="1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Purchaser Stockholder Approval</w:t>
      </w:r>
      <w:r>
        <w:rPr>
          <w:rFonts w:ascii="Times New Roman" w:cs="Times New Roman" w:eastAsia="Times New Roman" w:hAnsi="Times New Roman"/>
          <w:sz w:val="18"/>
          <w:szCs w:val="18"/>
          <w:color w:val="auto"/>
        </w:rPr>
        <w:t>. The Purchaser Stockholder Approval Matters that are submitted to the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the Purchaser at the Purchaser Special Meeting in accordance with the Proxy Statement shall have been approved by the requisite vote of the stockholders of the Purchaser at the Purchaser Special Meeting in accordance with the Purchaser’s Organizational Documents, applicable Law and the Proxy Statement (the “</w:t>
      </w:r>
      <w:r>
        <w:rPr>
          <w:rFonts w:ascii="Times New Roman" w:cs="Times New Roman" w:eastAsia="Times New Roman" w:hAnsi="Times New Roman"/>
          <w:sz w:val="18"/>
          <w:szCs w:val="18"/>
          <w:b w:val="1"/>
          <w:bCs w:val="1"/>
          <w:i w:val="1"/>
          <w:iCs w:val="1"/>
          <w:color w:val="auto"/>
        </w:rPr>
        <w:t>Required Purchaser Stockholder Approval</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right="60" w:firstLine="1304"/>
        <w:spacing w:after="0" w:line="257" w:lineRule="auto"/>
        <w:tabs>
          <w:tab w:leader="none" w:pos="155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Company Stockholder Approval</w:t>
      </w:r>
      <w:r>
        <w:rPr>
          <w:rFonts w:ascii="Times New Roman" w:cs="Times New Roman" w:eastAsia="Times New Roman" w:hAnsi="Times New Roman"/>
          <w:sz w:val="18"/>
          <w:szCs w:val="18"/>
          <w:color w:val="auto"/>
        </w:rPr>
        <w:t>. The Company Special Meeting or action by written consent, as applicable, shall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in accordance with the DGCL and the Company’s Organizational Documents, and at such meeting or written consent, the requisite vote of the Company Stockholders (including any separate class or series vote that is required, whether pursuant to the Company’s Organizational Documents, any stockholder agreement or otherwise) shall have authorized, approved and consented to, the execution, delivery and performance of this Agreement and each of the Ancillary Documents to which the Company is or is required to be a party or bound, and the consummation of the transactions contemplated hereby and thereby, including the Merger (the “</w:t>
      </w:r>
      <w:r>
        <w:rPr>
          <w:rFonts w:ascii="Times New Roman" w:cs="Times New Roman" w:eastAsia="Times New Roman" w:hAnsi="Times New Roman"/>
          <w:sz w:val="18"/>
          <w:szCs w:val="18"/>
          <w:b w:val="1"/>
          <w:bCs w:val="1"/>
          <w:i w:val="1"/>
          <w:iCs w:val="1"/>
          <w:color w:val="auto"/>
        </w:rPr>
        <w:t>Required Company Stockholder Approval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59" w:name="page260"/>
    <w:bookmarkEnd w:id="259"/>
    <w:p>
      <w:pPr>
        <w:ind w:right="80" w:firstLine="1304"/>
        <w:spacing w:after="0" w:line="284" w:lineRule="auto"/>
        <w:tabs>
          <w:tab w:leader="none" w:pos="1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Antitrust Laws. </w:t>
      </w:r>
      <w:r>
        <w:rPr>
          <w:rFonts w:ascii="Times New Roman" w:cs="Times New Roman" w:eastAsia="Times New Roman" w:hAnsi="Times New Roman"/>
          <w:sz w:val="18"/>
          <w:szCs w:val="18"/>
          <w:color w:val="auto"/>
        </w:rPr>
        <w:t>Any waiting period (and any extension thereof), if any, applicable to the consummation of this Agreement under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Antitrust Laws shall have expired or been terminated.</w:t>
      </w:r>
    </w:p>
    <w:p>
      <w:pPr>
        <w:spacing w:after="0" w:line="77" w:lineRule="exact"/>
        <w:rPr>
          <w:rFonts w:ascii="Times New Roman" w:cs="Times New Roman" w:eastAsia="Times New Roman" w:hAnsi="Times New Roman"/>
          <w:sz w:val="18"/>
          <w:szCs w:val="18"/>
          <w:color w:val="auto"/>
        </w:rPr>
      </w:pPr>
    </w:p>
    <w:p>
      <w:pPr>
        <w:ind w:right="280" w:firstLine="1304"/>
        <w:spacing w:after="0" w:line="284" w:lineRule="auto"/>
        <w:tabs>
          <w:tab w:leader="none" w:pos="155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Requisite Regulatory Approvals</w:t>
      </w:r>
      <w:r>
        <w:rPr>
          <w:rFonts w:ascii="Times New Roman" w:cs="Times New Roman" w:eastAsia="Times New Roman" w:hAnsi="Times New Roman"/>
          <w:sz w:val="18"/>
          <w:szCs w:val="18"/>
          <w:color w:val="auto"/>
        </w:rPr>
        <w:t>. All Consents required to be obtained from or made with any Governmental Authority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 the transactions contemplated by this Agreement shall have been obtained or made.</w:t>
      </w:r>
    </w:p>
    <w:p>
      <w:pPr>
        <w:spacing w:after="0" w:line="90" w:lineRule="exact"/>
        <w:rPr>
          <w:rFonts w:ascii="Times New Roman" w:cs="Times New Roman" w:eastAsia="Times New Roman" w:hAnsi="Times New Roman"/>
          <w:sz w:val="18"/>
          <w:szCs w:val="18"/>
          <w:color w:val="auto"/>
        </w:rPr>
      </w:pPr>
    </w:p>
    <w:p>
      <w:pPr>
        <w:ind w:right="20" w:firstLine="1304"/>
        <w:spacing w:after="0" w:line="284" w:lineRule="auto"/>
        <w:tabs>
          <w:tab w:leader="none" w:pos="1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Requisite Consents</w:t>
      </w:r>
      <w:r>
        <w:rPr>
          <w:rFonts w:ascii="Times New Roman" w:cs="Times New Roman" w:eastAsia="Times New Roman" w:hAnsi="Times New Roman"/>
          <w:sz w:val="18"/>
          <w:szCs w:val="18"/>
          <w:color w:val="auto"/>
        </w:rPr>
        <w:t>. The Consents required to be obtained from or made with any third Person (other than a Governmental Authority)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order to consummate the transactions contemplated by this Agreement that are set forth in </w:t>
      </w:r>
      <w:r>
        <w:rPr>
          <w:rFonts w:ascii="Times New Roman" w:cs="Times New Roman" w:eastAsia="Times New Roman" w:hAnsi="Times New Roman"/>
          <w:sz w:val="18"/>
          <w:szCs w:val="18"/>
          <w:u w:val="single" w:color="auto"/>
          <w:color w:val="auto"/>
        </w:rPr>
        <w:t>Schedule 6.1(e)</w:t>
      </w:r>
      <w:r>
        <w:rPr>
          <w:rFonts w:ascii="Times New Roman" w:cs="Times New Roman" w:eastAsia="Times New Roman" w:hAnsi="Times New Roman"/>
          <w:sz w:val="18"/>
          <w:szCs w:val="18"/>
          <w:color w:val="auto"/>
        </w:rPr>
        <w:t xml:space="preserve"> shall have each been obtained or made.</w:t>
      </w:r>
    </w:p>
    <w:p>
      <w:pPr>
        <w:spacing w:after="0" w:line="90" w:lineRule="exact"/>
        <w:rPr>
          <w:rFonts w:ascii="Times New Roman" w:cs="Times New Roman" w:eastAsia="Times New Roman" w:hAnsi="Times New Roman"/>
          <w:sz w:val="18"/>
          <w:szCs w:val="18"/>
          <w:color w:val="auto"/>
        </w:rPr>
      </w:pPr>
    </w:p>
    <w:p>
      <w:pPr>
        <w:ind w:right="60" w:firstLine="1304"/>
        <w:spacing w:after="0" w:line="261" w:lineRule="auto"/>
        <w:tabs>
          <w:tab w:leader="none" w:pos="152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Adverse Law or Order</w:t>
      </w:r>
      <w:r>
        <w:rPr>
          <w:rFonts w:ascii="Times New Roman" w:cs="Times New Roman" w:eastAsia="Times New Roman" w:hAnsi="Times New Roman"/>
          <w:sz w:val="18"/>
          <w:szCs w:val="18"/>
          <w:color w:val="auto"/>
        </w:rPr>
        <w:t>. No Governmental Authority shall have enacted, issued, promulgated, enforced or entered any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temporary, preliminary or permanent) or Order that is then in effect and which has the effect of making the transactions or agreements contemplated by this Agreement illegal or change the anticipated tax treatment or which otherwise prevents or prohibits consummation of the transactions contemplated by this Agreement.</w:t>
      </w:r>
    </w:p>
    <w:p>
      <w:pPr>
        <w:spacing w:after="0" w:line="98" w:lineRule="exact"/>
        <w:rPr>
          <w:rFonts w:ascii="Times New Roman" w:cs="Times New Roman" w:eastAsia="Times New Roman" w:hAnsi="Times New Roman"/>
          <w:sz w:val="18"/>
          <w:szCs w:val="18"/>
          <w:color w:val="auto"/>
        </w:rPr>
      </w:pPr>
    </w:p>
    <w:p>
      <w:pPr>
        <w:ind w:right="60" w:firstLine="1304"/>
        <w:spacing w:after="0" w:line="267" w:lineRule="auto"/>
        <w:tabs>
          <w:tab w:leader="none" w:pos="155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Tangible Assets Test. </w:t>
      </w:r>
      <w:r>
        <w:rPr>
          <w:rFonts w:ascii="Times New Roman" w:cs="Times New Roman" w:eastAsia="Times New Roman" w:hAnsi="Times New Roman"/>
          <w:sz w:val="18"/>
          <w:szCs w:val="18"/>
          <w:color w:val="auto"/>
        </w:rPr>
        <w:t>Either immediately prior to or upon the consummation of the Closing, in each case after giving effect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Redemption and any Financing, the Purchaser shall have net tangible assets of at least $5,000,001 on a consolidated basis (as calculated in accordance with Rule 3a51-1(g)(1) of the Exchange Act).</w:t>
      </w:r>
    </w:p>
    <w:p>
      <w:pPr>
        <w:spacing w:after="0" w:line="105" w:lineRule="exact"/>
        <w:rPr>
          <w:rFonts w:ascii="Times New Roman" w:cs="Times New Roman" w:eastAsia="Times New Roman" w:hAnsi="Times New Roman"/>
          <w:sz w:val="18"/>
          <w:szCs w:val="18"/>
          <w:color w:val="auto"/>
        </w:rPr>
      </w:pPr>
    </w:p>
    <w:p>
      <w:pPr>
        <w:ind w:right="500" w:firstLine="1304"/>
        <w:spacing w:after="0" w:line="284" w:lineRule="auto"/>
        <w:tabs>
          <w:tab w:leader="none" w:pos="155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The Purchaser Common Stock to be issued in connection with the transactions shall have been approved for listing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subject to official notice of issuance.</w:t>
      </w:r>
    </w:p>
    <w:p>
      <w:pPr>
        <w:spacing w:after="0" w:line="90" w:lineRule="exact"/>
        <w:rPr>
          <w:rFonts w:ascii="Times New Roman" w:cs="Times New Roman" w:eastAsia="Times New Roman" w:hAnsi="Times New Roman"/>
          <w:sz w:val="18"/>
          <w:szCs w:val="18"/>
          <w:color w:val="auto"/>
        </w:rPr>
      </w:pPr>
    </w:p>
    <w:p>
      <w:pPr>
        <w:ind w:right="60" w:firstLine="1304"/>
        <w:spacing w:after="0" w:line="267" w:lineRule="auto"/>
        <w:tabs>
          <w:tab w:leader="none" w:pos="151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Appointment to the Board and Officers</w:t>
      </w:r>
      <w:r>
        <w:rPr>
          <w:rFonts w:ascii="Times New Roman" w:cs="Times New Roman" w:eastAsia="Times New Roman" w:hAnsi="Times New Roman"/>
          <w:sz w:val="18"/>
          <w:szCs w:val="18"/>
          <w:color w:val="auto"/>
        </w:rPr>
        <w:t>. The members of the Post-Closing Purchaser Board shall have been elected or appointed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Closing consistent with the requirements of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and the Post-Closing officers of the of Purchaser shall have been approved and appointed consistent with the requirements of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right="60" w:firstLine="1304"/>
        <w:spacing w:after="0" w:line="284" w:lineRule="auto"/>
        <w:tabs>
          <w:tab w:leader="none" w:pos="151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w:t>
      </w:r>
      <w:r>
        <w:rPr>
          <w:rFonts w:ascii="Times New Roman" w:cs="Times New Roman" w:eastAsia="Times New Roman" w:hAnsi="Times New Roman"/>
          <w:sz w:val="18"/>
          <w:szCs w:val="18"/>
          <w:color w:val="auto"/>
        </w:rPr>
        <w:t>The Registration Statement shall have been declared effective by the SEC and shall remain effective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and no stop order or similar order shall be in effect with respect to the Registration Statement.</w:t>
      </w:r>
    </w:p>
    <w:p>
      <w:pPr>
        <w:spacing w:after="0" w:line="93"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xml:space="preserve">. In addition to the conditions specified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obligations of the Company to consummate the Merger and the other transactions contemplated by this Agreement are subject to the satisfaction or written waiver (by the Company) of the following conditions:</w:t>
      </w:r>
    </w:p>
    <w:p>
      <w:pPr>
        <w:spacing w:after="0" w:line="106" w:lineRule="exact"/>
        <w:rPr>
          <w:sz w:val="20"/>
          <w:szCs w:val="20"/>
          <w:color w:val="auto"/>
        </w:rPr>
      </w:pPr>
    </w:p>
    <w:p>
      <w:pPr>
        <w:ind w:right="100" w:firstLine="1304"/>
        <w:spacing w:after="0" w:line="257" w:lineRule="auto"/>
        <w:tabs>
          <w:tab w:leader="none" w:pos="1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All of the representations and warranties of the Purchaser set forth in this Agreement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delivered by or on behalf of the Purchaser pursuant hereto shall be true and correct on and as of the date of this Agreement and on and as of the Closing Date as if made on the Closing Date, except for (i) those representations and warranties that address matters only as of a particular date (which representations and warranties shall have been accurate as of such date), and (ii) any failures to be true and correct that (without giving effect to any qualifications or limitations as to materiality or Material Adverse Effect), individually or in the aggregate, have not had and would not reasonably be expected to have a Material Adverse Effect on, or with respect to, the Purchaser.</w:t>
      </w:r>
    </w:p>
    <w:p>
      <w:pPr>
        <w:spacing w:after="0" w:line="101" w:lineRule="exact"/>
        <w:rPr>
          <w:rFonts w:ascii="Times New Roman" w:cs="Times New Roman" w:eastAsia="Times New Roman" w:hAnsi="Times New Roman"/>
          <w:sz w:val="18"/>
          <w:szCs w:val="18"/>
          <w:color w:val="auto"/>
        </w:rPr>
      </w:pPr>
    </w:p>
    <w:p>
      <w:pPr>
        <w:ind w:right="440" w:firstLine="1304"/>
        <w:spacing w:after="0" w:line="267" w:lineRule="auto"/>
        <w:tabs>
          <w:tab w:leader="none" w:pos="155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 and Covenants</w:t>
      </w:r>
      <w:r>
        <w:rPr>
          <w:rFonts w:ascii="Times New Roman" w:cs="Times New Roman" w:eastAsia="Times New Roman" w:hAnsi="Times New Roman"/>
          <w:sz w:val="18"/>
          <w:szCs w:val="18"/>
          <w:color w:val="auto"/>
        </w:rPr>
        <w:t>. The Purchaser and the Merger Sub shall have each performed, in all material respects,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and the Merger Sub’s obligations and complied, in all material respects, with all of the Purchaser’s and the Merger Sub’s agreements and covenants under this Agreement to be performed or complied with by it on or prior to the Closing Date.</w:t>
      </w:r>
    </w:p>
    <w:p>
      <w:pPr>
        <w:spacing w:after="0" w:line="105" w:lineRule="exact"/>
        <w:rPr>
          <w:rFonts w:ascii="Times New Roman" w:cs="Times New Roman" w:eastAsia="Times New Roman" w:hAnsi="Times New Roman"/>
          <w:sz w:val="18"/>
          <w:szCs w:val="18"/>
          <w:color w:val="auto"/>
        </w:rPr>
      </w:pPr>
    </w:p>
    <w:p>
      <w:pPr>
        <w:ind w:firstLine="1304"/>
        <w:spacing w:after="0" w:line="284" w:lineRule="auto"/>
        <w:tabs>
          <w:tab w:leader="none" w:pos="1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Purchaser Material Adverse Effect</w:t>
      </w:r>
      <w:r>
        <w:rPr>
          <w:rFonts w:ascii="Times New Roman" w:cs="Times New Roman" w:eastAsia="Times New Roman" w:hAnsi="Times New Roman"/>
          <w:sz w:val="18"/>
          <w:szCs w:val="18"/>
          <w:color w:val="auto"/>
        </w:rPr>
        <w:t>. No Material Adverse Effect shall have occurred with respect to the Purchaser since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which is continuing and uncured.</w:t>
      </w:r>
    </w:p>
    <w:p>
      <w:pPr>
        <w:spacing w:after="0" w:line="90" w:lineRule="exact"/>
        <w:rPr>
          <w:rFonts w:ascii="Times New Roman" w:cs="Times New Roman" w:eastAsia="Times New Roman" w:hAnsi="Times New Roman"/>
          <w:sz w:val="18"/>
          <w:szCs w:val="18"/>
          <w:color w:val="auto"/>
        </w:rPr>
      </w:pPr>
    </w:p>
    <w:p>
      <w:pPr>
        <w:ind w:right="220" w:firstLine="1304"/>
        <w:spacing w:after="0" w:line="284" w:lineRule="auto"/>
        <w:tabs>
          <w:tab w:leader="none" w:pos="155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Final Purchaser Certificate of Incorporation. </w:t>
      </w:r>
      <w:r>
        <w:rPr>
          <w:rFonts w:ascii="Times New Roman" w:cs="Times New Roman" w:eastAsia="Times New Roman" w:hAnsi="Times New Roman"/>
          <w:sz w:val="18"/>
          <w:szCs w:val="18"/>
          <w:color w:val="auto"/>
        </w:rPr>
        <w:t>At or prior to the Closing, the Final Purchaser Certificate of Incorporation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filed with the Secretary of State of the State of Delaware in accordance with the relevant provisions of the DGCL.</w:t>
      </w: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19" w:right="399" w:bottom="1440" w:gutter="0" w:footer="0" w:header="0"/>
        </w:sectPr>
      </w:pPr>
    </w:p>
    <w:bookmarkStart w:id="260" w:name="page261"/>
    <w:bookmarkEnd w:id="260"/>
    <w:p>
      <w:pPr>
        <w:ind w:left="1540" w:hanging="236"/>
        <w:spacing w:after="0"/>
        <w:tabs>
          <w:tab w:leader="none" w:pos="1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Deliveries.</w:t>
      </w:r>
    </w:p>
    <w:p>
      <w:pPr>
        <w:spacing w:after="0" w:line="146" w:lineRule="exact"/>
        <w:rPr>
          <w:rFonts w:ascii="Times New Roman" w:cs="Times New Roman" w:eastAsia="Times New Roman" w:hAnsi="Times New Roman"/>
          <w:sz w:val="18"/>
          <w:szCs w:val="18"/>
          <w:color w:val="auto"/>
        </w:rPr>
      </w:pPr>
    </w:p>
    <w:p>
      <w:pPr>
        <w:ind w:right="220" w:firstLine="1952"/>
        <w:spacing w:after="0" w:line="282" w:lineRule="auto"/>
        <w:tabs>
          <w:tab w:leader="none" w:pos="215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fficer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w:t>
      </w:r>
      <w:r>
        <w:rPr>
          <w:rFonts w:ascii="Times New Roman" w:cs="Times New Roman" w:eastAsia="Times New Roman" w:hAnsi="Times New Roman"/>
          <w:sz w:val="18"/>
          <w:szCs w:val="18"/>
          <w:color w:val="auto"/>
        </w:rPr>
        <w:t xml:space="preserve">. The Purchaser shall have delivered to the Company a certificate, dated the Closing Date, signed by an executive officer of the Purchaser in such capacity, certifying as to the satisfaction of the conditions specified in </w:t>
      </w:r>
      <w:r>
        <w:rPr>
          <w:rFonts w:ascii="Times New Roman" w:cs="Times New Roman" w:eastAsia="Times New Roman" w:hAnsi="Times New Roman"/>
          <w:sz w:val="18"/>
          <w:szCs w:val="18"/>
          <w:u w:val="single" w:color="auto"/>
          <w:color w:val="auto"/>
        </w:rPr>
        <w:t>Sections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6.2(c)</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firstLine="1952"/>
        <w:spacing w:after="0" w:line="256" w:lineRule="auto"/>
        <w:tabs>
          <w:tab w:leader="none" w:pos="220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ecretary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w:t>
      </w:r>
      <w:r>
        <w:rPr>
          <w:rFonts w:ascii="Times New Roman" w:cs="Times New Roman" w:eastAsia="Times New Roman" w:hAnsi="Times New Roman"/>
          <w:sz w:val="18"/>
          <w:szCs w:val="18"/>
          <w:color w:val="auto"/>
        </w:rPr>
        <w:t>. The Purchaser shall have delivered to the Company a certificate from its secretary or other executive officer certifying as to, and attaching, (A) copies of the Purchaser’s Organizational Documents as in effect as of the Closing Date, (B) the resolutions of the Purchaser’s board of directors authorizing and approving the execution, delivery and performance of this Agreement and each of the Ancillary Documents to which it is a party or by which it is bound, and the consummation of the transactions contemplated hereby and thereby, (C) evidence that the Required Purchaser Stockholder Approval has been obtained and (D) the incumbency of officers authorized to execute this Agreement or any Ancillary Document to which the Purchaser is or is required to be a party or otherwise bound.</w:t>
      </w:r>
    </w:p>
    <w:p>
      <w:pPr>
        <w:spacing w:after="0" w:line="119" w:lineRule="exact"/>
        <w:rPr>
          <w:rFonts w:ascii="Times New Roman" w:cs="Times New Roman" w:eastAsia="Times New Roman" w:hAnsi="Times New Roman"/>
          <w:sz w:val="18"/>
          <w:szCs w:val="18"/>
          <w:color w:val="auto"/>
        </w:rPr>
      </w:pPr>
    </w:p>
    <w:p>
      <w:pPr>
        <w:ind w:right="120" w:firstLine="1952"/>
        <w:spacing w:after="0" w:line="258" w:lineRule="auto"/>
        <w:tabs>
          <w:tab w:leader="none" w:pos="225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ood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tanding</w:t>
      </w:r>
      <w:r>
        <w:rPr>
          <w:rFonts w:ascii="Times New Roman" w:cs="Times New Roman" w:eastAsia="Times New Roman" w:hAnsi="Times New Roman"/>
          <w:sz w:val="18"/>
          <w:szCs w:val="18"/>
          <w:color w:val="auto"/>
        </w:rPr>
        <w:t>. The Purchaser shall have delivered to the Company a good standing certificate (or similar documents applicable for such jurisdictions) for the Purchaser certified as of a date no earlier than thirty (30) days prior to the Closing Date from the proper Governmental Authority of the Purchaser’s jurisdiction of organization and from each other jurisdiction in which the Purchaser is qualified to do business as a foreign entity as of the Closing, in each case to the extent that good standing certificates or similar documents are generally available in such jurisdictions.</w:t>
      </w:r>
    </w:p>
    <w:p>
      <w:pPr>
        <w:spacing w:after="0" w:line="10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Conditions to Obligations of the Purchaser</w:t>
      </w:r>
      <w:r>
        <w:rPr>
          <w:rFonts w:ascii="Times New Roman" w:cs="Times New Roman" w:eastAsia="Times New Roman" w:hAnsi="Times New Roman"/>
          <w:sz w:val="18"/>
          <w:szCs w:val="18"/>
          <w:color w:val="auto"/>
        </w:rPr>
        <w:t xml:space="preserve">. In addition to the conditions specified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obligations of the Purchaser and Merger Sub to consummate the Merger and the other transactions contemplated by this Agreement are subject to the satisfaction or written waiver (by the Purchaser) of the following conditions:</w:t>
      </w:r>
    </w:p>
    <w:p>
      <w:pPr>
        <w:spacing w:after="0" w:line="106" w:lineRule="exact"/>
        <w:rPr>
          <w:sz w:val="20"/>
          <w:szCs w:val="20"/>
          <w:color w:val="auto"/>
        </w:rPr>
      </w:pPr>
    </w:p>
    <w:p>
      <w:pPr>
        <w:ind w:right="120" w:firstLine="1304"/>
        <w:spacing w:after="0" w:line="257" w:lineRule="auto"/>
        <w:tabs>
          <w:tab w:leader="none" w:pos="15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All of the representations and warranties of the Company set forth in this Agreement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delivered by or on behalf of the Company pursuant hereto shall be true and correct on and as of the date of this Agreement and on and as of the Closing Date as if made on the Closing Date, except for (i) those representations and warranties that address matters only as of a particular date (which representations and warranties shall have been accurate as of such date), and (ii) any failures to be true and correct that (without giving effect to any qualifications or limitations as to materiality or Material Adverse Effect), individually or in the aggregate, have not had and would not reasonably be expected to have a Material Adverse Effect on, or with respect to, the Target Companies, taken as a whole.</w:t>
      </w:r>
    </w:p>
    <w:p>
      <w:pPr>
        <w:spacing w:after="0" w:line="114" w:lineRule="exact"/>
        <w:rPr>
          <w:rFonts w:ascii="Times New Roman" w:cs="Times New Roman" w:eastAsia="Times New Roman" w:hAnsi="Times New Roman"/>
          <w:sz w:val="18"/>
          <w:szCs w:val="18"/>
          <w:color w:val="auto"/>
        </w:rPr>
      </w:pPr>
    </w:p>
    <w:p>
      <w:pPr>
        <w:ind w:right="320" w:firstLine="1304"/>
        <w:spacing w:after="0" w:line="315" w:lineRule="auto"/>
        <w:tabs>
          <w:tab w:leader="none" w:pos="1551"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Agreements and Covenants</w:t>
      </w:r>
      <w:r>
        <w:rPr>
          <w:rFonts w:ascii="Times New Roman" w:cs="Times New Roman" w:eastAsia="Times New Roman" w:hAnsi="Times New Roman"/>
          <w:sz w:val="17"/>
          <w:szCs w:val="17"/>
          <w:color w:val="auto"/>
        </w:rPr>
        <w:t>. The Company shall have performed in all material respects all of its obligations and complied in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 respects with all of its agreements and covenants under this Agreement to be performed or complied with by it on or prior to the Closing Date.</w:t>
      </w:r>
    </w:p>
    <w:p>
      <w:pPr>
        <w:spacing w:after="0" w:line="53" w:lineRule="exact"/>
        <w:rPr>
          <w:rFonts w:ascii="Times New Roman" w:cs="Times New Roman" w:eastAsia="Times New Roman" w:hAnsi="Times New Roman"/>
          <w:sz w:val="17"/>
          <w:szCs w:val="17"/>
          <w:color w:val="auto"/>
        </w:rPr>
      </w:pPr>
    </w:p>
    <w:p>
      <w:pPr>
        <w:ind w:right="180" w:firstLine="1304"/>
        <w:spacing w:after="0" w:line="284" w:lineRule="auto"/>
        <w:tabs>
          <w:tab w:leader="none" w:pos="15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Effect</w:t>
      </w:r>
      <w:r>
        <w:rPr>
          <w:rFonts w:ascii="Times New Roman" w:cs="Times New Roman" w:eastAsia="Times New Roman" w:hAnsi="Times New Roman"/>
          <w:sz w:val="18"/>
          <w:szCs w:val="18"/>
          <w:color w:val="auto"/>
        </w:rPr>
        <w:t>. No Material Adverse Effect shall have occurred with respect to the Target Companies taken as a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the date of this Agreement which is continuing and uncured.</w:t>
      </w:r>
    </w:p>
    <w:p>
      <w:pPr>
        <w:spacing w:after="0" w:line="90"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Deliveries.</w:t>
      </w:r>
    </w:p>
    <w:p>
      <w:pPr>
        <w:spacing w:after="0" w:line="159" w:lineRule="exact"/>
        <w:rPr>
          <w:rFonts w:ascii="Times New Roman" w:cs="Times New Roman" w:eastAsia="Times New Roman" w:hAnsi="Times New Roman"/>
          <w:sz w:val="18"/>
          <w:szCs w:val="18"/>
          <w:color w:val="auto"/>
        </w:rPr>
      </w:pPr>
    </w:p>
    <w:p>
      <w:pPr>
        <w:ind w:right="100" w:firstLine="1952"/>
        <w:spacing w:after="0" w:line="282" w:lineRule="auto"/>
        <w:tabs>
          <w:tab w:leader="none" w:pos="215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fficer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w:t>
      </w:r>
      <w:r>
        <w:rPr>
          <w:rFonts w:ascii="Times New Roman" w:cs="Times New Roman" w:eastAsia="Times New Roman" w:hAnsi="Times New Roman"/>
          <w:sz w:val="18"/>
          <w:szCs w:val="18"/>
          <w:color w:val="auto"/>
        </w:rPr>
        <w:t xml:space="preserve">. The Purchaser shall have received a certificate from the Company, dated as the Closing Date, signed by an executive officer of the Company in such capacity, certifying as to the satisfaction of the conditions specified in </w:t>
      </w:r>
      <w:r>
        <w:rPr>
          <w:rFonts w:ascii="Times New Roman" w:cs="Times New Roman" w:eastAsia="Times New Roman" w:hAnsi="Times New Roman"/>
          <w:sz w:val="18"/>
          <w:szCs w:val="18"/>
          <w:u w:val="single" w:color="auto"/>
          <w:color w:val="auto"/>
        </w:rPr>
        <w:t>Sections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6.3(c)</w:t>
      </w:r>
    </w:p>
    <w:p>
      <w:pPr>
        <w:spacing w:after="0" w:line="80" w:lineRule="exact"/>
        <w:rPr>
          <w:rFonts w:ascii="Times New Roman" w:cs="Times New Roman" w:eastAsia="Times New Roman" w:hAnsi="Times New Roman"/>
          <w:sz w:val="18"/>
          <w:szCs w:val="18"/>
          <w:color w:val="auto"/>
        </w:rPr>
      </w:pPr>
    </w:p>
    <w:p>
      <w:pPr>
        <w:ind w:firstLine="1952"/>
        <w:spacing w:after="0" w:line="254" w:lineRule="auto"/>
        <w:tabs>
          <w:tab w:leader="none" w:pos="220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ecretary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w:t>
      </w:r>
      <w:r>
        <w:rPr>
          <w:rFonts w:ascii="Times New Roman" w:cs="Times New Roman" w:eastAsia="Times New Roman" w:hAnsi="Times New Roman"/>
          <w:sz w:val="18"/>
          <w:szCs w:val="18"/>
          <w:color w:val="auto"/>
        </w:rPr>
        <w:t>. The Company shall have delivered to the Purchaser a certificate executed by the Company’s secretary certifying as to the validity and effectiveness of, and attaching, (A) copies of the Company’s Organizational Documents as in effect as of the Closing Date (immediately prior to the Effective Time), (B) the requisite resolutions of the Company’s board of directors authorizing and approving the execution, delivery and performance of this Agreement and each Ancillary Document to which the Company is or is required to be a party or bound, and the consummation of the Merger and the other transactions contemplated hereby and thereby, and the adoption of the Surviving Corporation Organizational Documents, and recommending the approval and adoption of the same by the Company Stockholders at a duly called meeting of stockholders, (C) evidence that the Required Company Stockholder Approval has been obtained and (D) the incumbency of officers of the Company authorized to execute this Agreement or any Ancillary Document to which the Company is or is required to be a party or otherwise bound.</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19" w:right="379" w:bottom="1440" w:gutter="0" w:footer="0" w:header="0"/>
        </w:sectPr>
      </w:pPr>
    </w:p>
    <w:bookmarkStart w:id="261" w:name="page262"/>
    <w:bookmarkEnd w:id="261"/>
    <w:p>
      <w:pPr>
        <w:ind w:right="40" w:firstLine="1952"/>
        <w:spacing w:after="0" w:line="258" w:lineRule="auto"/>
        <w:tabs>
          <w:tab w:leader="none" w:pos="225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ood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tanding</w:t>
      </w:r>
      <w:r>
        <w:rPr>
          <w:rFonts w:ascii="Times New Roman" w:cs="Times New Roman" w:eastAsia="Times New Roman" w:hAnsi="Times New Roman"/>
          <w:sz w:val="18"/>
          <w:szCs w:val="18"/>
          <w:color w:val="auto"/>
        </w:rPr>
        <w:t>. The Company shall have delivered to the Purchaser good standing certificates (or similar documents applicable for such jurisdictions) for each Target Company certified as of a date no earlier than thirty (30) days prior to the Closing Date from the proper Governmental Authority of the Target Company’s jurisdiction of organization and from each other jurisdiction in which the Target Company is qualified to do business as a foreign corporation or other entity as of the Closing, in each case to the extent that good standing certificates or similar documents are generally available in such jurisdictions.</w:t>
      </w:r>
    </w:p>
    <w:p>
      <w:pPr>
        <w:spacing w:after="0" w:line="102" w:lineRule="exact"/>
        <w:rPr>
          <w:rFonts w:ascii="Times New Roman" w:cs="Times New Roman" w:eastAsia="Times New Roman" w:hAnsi="Times New Roman"/>
          <w:sz w:val="18"/>
          <w:szCs w:val="18"/>
          <w:color w:val="auto"/>
        </w:rPr>
      </w:pPr>
    </w:p>
    <w:p>
      <w:pPr>
        <w:ind w:right="100" w:firstLine="1952"/>
        <w:spacing w:after="0" w:line="266" w:lineRule="auto"/>
        <w:tabs>
          <w:tab w:leader="none" w:pos="224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ertified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harter</w:t>
      </w:r>
      <w:r>
        <w:rPr>
          <w:rFonts w:ascii="Times New Roman" w:cs="Times New Roman" w:eastAsia="Times New Roman" w:hAnsi="Times New Roman"/>
          <w:sz w:val="18"/>
          <w:szCs w:val="18"/>
          <w:color w:val="auto"/>
        </w:rPr>
        <w:t>. The Company shall have delivered to the Purchaser a copy of the Company Charter, as in effect as of immediately prior to the Effective Time, certified by the Secretary of State of the State of Delaware as of a date no more than ten (10) Business Days prior to the Closing Date.</w:t>
      </w:r>
    </w:p>
    <w:p>
      <w:pPr>
        <w:spacing w:after="0" w:line="108" w:lineRule="exact"/>
        <w:rPr>
          <w:rFonts w:ascii="Times New Roman" w:cs="Times New Roman" w:eastAsia="Times New Roman" w:hAnsi="Times New Roman"/>
          <w:sz w:val="18"/>
          <w:szCs w:val="18"/>
          <w:color w:val="auto"/>
        </w:rPr>
      </w:pPr>
    </w:p>
    <w:p>
      <w:pPr>
        <w:ind w:firstLine="1952"/>
        <w:spacing w:after="0" w:line="266" w:lineRule="auto"/>
        <w:tabs>
          <w:tab w:leader="none" w:pos="219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mployment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greements</w:t>
      </w:r>
      <w:r>
        <w:rPr>
          <w:rFonts w:ascii="Times New Roman" w:cs="Times New Roman" w:eastAsia="Times New Roman" w:hAnsi="Times New Roman"/>
          <w:sz w:val="18"/>
          <w:szCs w:val="18"/>
          <w:color w:val="auto"/>
        </w:rPr>
        <w:t xml:space="preserve">. The Purchaser shall have received employment agreements, in each case effective as of the Closing, in form and substance reasonably acceptable to the Company and the Purchaser, between each of the persons set forth </w:t>
      </w:r>
      <w:r>
        <w:rPr>
          <w:rFonts w:ascii="Times New Roman" w:cs="Times New Roman" w:eastAsia="Times New Roman" w:hAnsi="Times New Roman"/>
          <w:sz w:val="18"/>
          <w:szCs w:val="18"/>
          <w:u w:val="single" w:color="auto"/>
          <w:color w:val="auto"/>
        </w:rPr>
        <w:t>Schedule 6.3(d)(v)</w:t>
      </w:r>
      <w:r>
        <w:rPr>
          <w:rFonts w:ascii="Times New Roman" w:cs="Times New Roman" w:eastAsia="Times New Roman" w:hAnsi="Times New Roman"/>
          <w:sz w:val="18"/>
          <w:szCs w:val="18"/>
          <w:color w:val="auto"/>
        </w:rPr>
        <w:t xml:space="preserve"> hereto and the applicable Target Company or the Purchaser, as noted in </w:t>
      </w:r>
      <w:r>
        <w:rPr>
          <w:rFonts w:ascii="Times New Roman" w:cs="Times New Roman" w:eastAsia="Times New Roman" w:hAnsi="Times New Roman"/>
          <w:sz w:val="18"/>
          <w:szCs w:val="18"/>
          <w:u w:val="single" w:color="auto"/>
          <w:color w:val="auto"/>
        </w:rPr>
        <w:t>Schedule 6.3(d)(v)</w:t>
      </w:r>
      <w:r>
        <w:rPr>
          <w:rFonts w:ascii="Times New Roman" w:cs="Times New Roman" w:eastAsia="Times New Roman" w:hAnsi="Times New Roman"/>
          <w:sz w:val="18"/>
          <w:szCs w:val="18"/>
          <w:color w:val="auto"/>
        </w:rPr>
        <w:t>, each such employment agreement duly executed by the parties thereto.</w:t>
      </w:r>
    </w:p>
    <w:p>
      <w:pPr>
        <w:spacing w:after="0" w:line="108" w:lineRule="exact"/>
        <w:rPr>
          <w:rFonts w:ascii="Times New Roman" w:cs="Times New Roman" w:eastAsia="Times New Roman" w:hAnsi="Times New Roman"/>
          <w:sz w:val="18"/>
          <w:szCs w:val="18"/>
          <w:color w:val="auto"/>
        </w:rPr>
      </w:pPr>
    </w:p>
    <w:p>
      <w:pPr>
        <w:ind w:firstLine="1952"/>
        <w:spacing w:after="0" w:line="261" w:lineRule="auto"/>
        <w:tabs>
          <w:tab w:leader="none" w:pos="224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ock</w:t>
      </w:r>
      <w:r>
        <w:rPr>
          <w:rFonts w:ascii="Times New Roman" w:cs="Times New Roman" w:eastAsia="Times New Roman" w:hAnsi="Times New Roman"/>
          <w:sz w:val="18"/>
          <w:szCs w:val="18"/>
          <w:color w:val="auto"/>
        </w:rPr>
        <w:t>-U</w:t>
      </w:r>
      <w:r>
        <w:rPr>
          <w:rFonts w:ascii="Times New Roman" w:cs="Times New Roman" w:eastAsia="Times New Roman" w:hAnsi="Times New Roman"/>
          <w:sz w:val="12"/>
          <w:szCs w:val="12"/>
          <w:color w:val="auto"/>
        </w:rPr>
        <w:t>p</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greements</w:t>
      </w:r>
      <w:r>
        <w:rPr>
          <w:rFonts w:ascii="Times New Roman" w:cs="Times New Roman" w:eastAsia="Times New Roman" w:hAnsi="Times New Roman"/>
          <w:sz w:val="18"/>
          <w:szCs w:val="18"/>
          <w:color w:val="auto"/>
        </w:rPr>
        <w:t>. The Purchaser shall have received from each Significant Company Holder a lock-up agreement providing for a lock-up period substantially identical to the period agreed to by the Sponsor with respect to its founder shares (as defined in the Purchaser IPO Prospectus) in connection with the Purchaser IPO and otherwise in form and substance reasonably acceptable to the Purchaser and the Company (each, a “</w:t>
      </w:r>
      <w:r>
        <w:rPr>
          <w:rFonts w:ascii="Times New Roman" w:cs="Times New Roman" w:eastAsia="Times New Roman" w:hAnsi="Times New Roman"/>
          <w:sz w:val="18"/>
          <w:szCs w:val="18"/>
          <w:b w:val="1"/>
          <w:bCs w:val="1"/>
          <w:i w:val="1"/>
          <w:iCs w:val="1"/>
          <w:color w:val="auto"/>
        </w:rPr>
        <w:t>Lock-Up Agreement</w:t>
      </w:r>
      <w:r>
        <w:rPr>
          <w:rFonts w:ascii="Times New Roman" w:cs="Times New Roman" w:eastAsia="Times New Roman" w:hAnsi="Times New Roman"/>
          <w:sz w:val="18"/>
          <w:szCs w:val="18"/>
          <w:color w:val="auto"/>
        </w:rPr>
        <w:t>”), duly executed by such Significant Company Holder.</w:t>
      </w:r>
    </w:p>
    <w:p>
      <w:pPr>
        <w:spacing w:after="0" w:line="98"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on</w:t>
      </w: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ompetition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greements</w:t>
      </w:r>
      <w:r>
        <w:rPr>
          <w:rFonts w:ascii="Times New Roman" w:cs="Times New Roman" w:eastAsia="Times New Roman" w:hAnsi="Times New Roman"/>
          <w:sz w:val="18"/>
          <w:szCs w:val="18"/>
          <w:color w:val="auto"/>
        </w:rPr>
        <w:t>. The Purchaser shall have received from each of the Company Stockholders set forth</w:t>
      </w:r>
    </w:p>
    <w:p>
      <w:pPr>
        <w:spacing w:after="0" w:line="2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 xml:space="preserve">on </w:t>
      </w:r>
      <w:r>
        <w:rPr>
          <w:rFonts w:ascii="Times New Roman" w:cs="Times New Roman" w:eastAsia="Times New Roman" w:hAnsi="Times New Roman"/>
          <w:sz w:val="17"/>
          <w:szCs w:val="17"/>
          <w:u w:val="single" w:color="auto"/>
          <w:color w:val="auto"/>
        </w:rPr>
        <w:t>Schedule 6.3(d)(vii)</w:t>
      </w:r>
      <w:r>
        <w:rPr>
          <w:rFonts w:ascii="Times New Roman" w:cs="Times New Roman" w:eastAsia="Times New Roman" w:hAnsi="Times New Roman"/>
          <w:sz w:val="17"/>
          <w:szCs w:val="17"/>
          <w:color w:val="auto"/>
        </w:rPr>
        <w:t xml:space="preserve"> hereto non-competition and non-solicitation agreements (each, a “</w:t>
      </w:r>
      <w:r>
        <w:rPr>
          <w:rFonts w:ascii="Times New Roman" w:cs="Times New Roman" w:eastAsia="Times New Roman" w:hAnsi="Times New Roman"/>
          <w:sz w:val="17"/>
          <w:szCs w:val="17"/>
          <w:b w:val="1"/>
          <w:bCs w:val="1"/>
          <w:i w:val="1"/>
          <w:iCs w:val="1"/>
          <w:color w:val="auto"/>
        </w:rPr>
        <w:t>Non-Competition Agreement</w:t>
      </w:r>
      <w:r>
        <w:rPr>
          <w:rFonts w:ascii="Times New Roman" w:cs="Times New Roman" w:eastAsia="Times New Roman" w:hAnsi="Times New Roman"/>
          <w:sz w:val="17"/>
          <w:szCs w:val="17"/>
          <w:color w:val="auto"/>
        </w:rPr>
        <w:t>”) in favor of the Purchaser and the Company with a restricted period of four (4) years after the Closing relating to the business of the Company and its Subsidiaries as of the Closing and otherwise in form and substance reasonably acceptable to the Purchaser and the Company, duly executed by such Company Stockholder and the Company.</w:t>
      </w:r>
    </w:p>
    <w:p>
      <w:pPr>
        <w:spacing w:after="0" w:line="101" w:lineRule="exact"/>
        <w:rPr>
          <w:sz w:val="20"/>
          <w:szCs w:val="20"/>
          <w:color w:val="auto"/>
        </w:rPr>
      </w:pPr>
    </w:p>
    <w:p>
      <w:pPr>
        <w:ind w:right="160" w:firstLine="1952"/>
        <w:spacing w:after="0" w:line="266" w:lineRule="auto"/>
        <w:tabs>
          <w:tab w:leader="none" w:pos="234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onvertible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ecurities</w:t>
      </w:r>
      <w:r>
        <w:rPr>
          <w:rFonts w:ascii="Times New Roman" w:cs="Times New Roman" w:eastAsia="Times New Roman" w:hAnsi="Times New Roman"/>
          <w:sz w:val="18"/>
          <w:szCs w:val="18"/>
          <w:color w:val="auto"/>
        </w:rPr>
        <w:t>. The Purchaser shall have received evidence reasonably acceptable to the Purchaser that the Company shall have terminated, extinguished and canceled in full any outstanding Company Convertible Securities or commitments therefor (other than those related to Permitted Debt and the Assumed Warrants).</w:t>
      </w:r>
    </w:p>
    <w:p>
      <w:pPr>
        <w:spacing w:after="0" w:line="108" w:lineRule="exact"/>
        <w:rPr>
          <w:rFonts w:ascii="Times New Roman" w:cs="Times New Roman" w:eastAsia="Times New Roman" w:hAnsi="Times New Roman"/>
          <w:sz w:val="18"/>
          <w:szCs w:val="18"/>
          <w:color w:val="auto"/>
        </w:rPr>
      </w:pPr>
    </w:p>
    <w:p>
      <w:pPr>
        <w:ind w:firstLine="1952"/>
        <w:spacing w:after="0" w:line="266" w:lineRule="auto"/>
        <w:tabs>
          <w:tab w:leader="none" w:pos="224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egistered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etter</w:t>
      </w:r>
      <w:r>
        <w:rPr>
          <w:rFonts w:ascii="Times New Roman" w:cs="Times New Roman" w:eastAsia="Times New Roman" w:hAnsi="Times New Roman"/>
          <w:sz w:val="18"/>
          <w:szCs w:val="18"/>
          <w:color w:val="auto"/>
        </w:rPr>
        <w:t>. The Purchaser shall receive a copy of the letter, executed by all parties thereto, in the agreed form, to the Delaware registered agent of the Company from the client of record of such registered agent instructing it to take instruction from the Purchaser (or its nominees) from Closing.</w:t>
      </w:r>
    </w:p>
    <w:p>
      <w:pPr>
        <w:spacing w:after="0" w:line="94" w:lineRule="exact"/>
        <w:rPr>
          <w:rFonts w:ascii="Times New Roman" w:cs="Times New Roman" w:eastAsia="Times New Roman" w:hAnsi="Times New Roman"/>
          <w:sz w:val="18"/>
          <w:szCs w:val="18"/>
          <w:color w:val="auto"/>
        </w:rPr>
      </w:pPr>
    </w:p>
    <w:p>
      <w:pPr>
        <w:jc w:val="both"/>
        <w:ind w:right="160" w:firstLine="1952"/>
        <w:spacing w:after="0" w:line="266" w:lineRule="auto"/>
        <w:tabs>
          <w:tab w:leader="none" w:pos="219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ertain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ontracts</w:t>
      </w:r>
      <w:r>
        <w:rPr>
          <w:rFonts w:ascii="Times New Roman" w:cs="Times New Roman" w:eastAsia="Times New Roman" w:hAnsi="Times New Roman"/>
          <w:sz w:val="18"/>
          <w:szCs w:val="18"/>
          <w:color w:val="auto"/>
        </w:rPr>
        <w:t xml:space="preserve">. The Purchaser shall have received evidence reasonably acceptable to the Purchaser that the Contracts involving the Target Companies and/or Company Security Holders or other Related Persons set forth on </w:t>
      </w:r>
      <w:r>
        <w:rPr>
          <w:rFonts w:ascii="Times New Roman" w:cs="Times New Roman" w:eastAsia="Times New Roman" w:hAnsi="Times New Roman"/>
          <w:sz w:val="18"/>
          <w:szCs w:val="18"/>
          <w:u w:val="single" w:color="auto"/>
          <w:color w:val="auto"/>
        </w:rPr>
        <w:t>Schedule 6.3(d)(x)</w:t>
      </w:r>
      <w:r>
        <w:rPr>
          <w:rFonts w:ascii="Times New Roman" w:cs="Times New Roman" w:eastAsia="Times New Roman" w:hAnsi="Times New Roman"/>
          <w:sz w:val="18"/>
          <w:szCs w:val="18"/>
          <w:color w:val="auto"/>
        </w:rPr>
        <w:t xml:space="preserve"> shall have been terminated with no further obligation or Liability of the Target Companies thereunder.</w:t>
      </w:r>
    </w:p>
    <w:p>
      <w:pPr>
        <w:spacing w:after="0" w:line="108" w:lineRule="exact"/>
        <w:rPr>
          <w:rFonts w:ascii="Times New Roman" w:cs="Times New Roman" w:eastAsia="Times New Roman" w:hAnsi="Times New Roman"/>
          <w:sz w:val="18"/>
          <w:szCs w:val="18"/>
          <w:color w:val="auto"/>
        </w:rPr>
      </w:pPr>
    </w:p>
    <w:p>
      <w:pPr>
        <w:ind w:right="60" w:firstLine="1952"/>
        <w:spacing w:after="0" w:line="282" w:lineRule="auto"/>
        <w:tabs>
          <w:tab w:leader="none" w:pos="224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esignations</w:t>
      </w:r>
      <w:r>
        <w:rPr>
          <w:rFonts w:ascii="Times New Roman" w:cs="Times New Roman" w:eastAsia="Times New Roman" w:hAnsi="Times New Roman"/>
          <w:sz w:val="18"/>
          <w:szCs w:val="18"/>
          <w:color w:val="auto"/>
        </w:rPr>
        <w:t>. The Purchaser shall have received written resignations effective as of the Closing, of each of the directors and officers of the Company as mutually agreed by the Purchaser and the Company prior to the Closing.</w:t>
      </w:r>
    </w:p>
    <w:p>
      <w:pPr>
        <w:spacing w:after="0" w:line="94"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Frustration of Conditions</w:t>
      </w:r>
      <w:r>
        <w:rPr>
          <w:rFonts w:ascii="Times New Roman" w:cs="Times New Roman" w:eastAsia="Times New Roman" w:hAnsi="Times New Roman"/>
          <w:sz w:val="18"/>
          <w:szCs w:val="18"/>
          <w:color w:val="auto"/>
        </w:rPr>
        <w:t xml:space="preserve">. Notwithstanding anything contained herein to the contrary, no Party may rely on the failure of any condition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 if such failure was caused by the failure of such Party or its Affiliates (or with respect to the Company, any Target Company or Company Stockholder) failure to comply with or perform any of its covenants or obligations set forth in this Agreement.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AND EXPENSES</w:t>
      </w:r>
    </w:p>
    <w:p>
      <w:pPr>
        <w:spacing w:after="0" w:line="139"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contemplated hereby may be abandoned at any time prior to the Closing as follows:</w:t>
      </w:r>
    </w:p>
    <w:p>
      <w:pPr>
        <w:spacing w:after="0" w:line="94" w:lineRule="exact"/>
        <w:rPr>
          <w:sz w:val="20"/>
          <w:szCs w:val="20"/>
          <w:color w:val="auto"/>
        </w:rPr>
      </w:pPr>
    </w:p>
    <w:p>
      <w:pPr>
        <w:ind w:left="5180" w:right="5140" w:hanging="3876"/>
        <w:spacing w:after="0" w:line="970" w:lineRule="auto"/>
        <w:tabs>
          <w:tab w:leader="none" w:pos="154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Purchaser and the Company; 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62" w:name="page263"/>
    <w:bookmarkEnd w:id="262"/>
    <w:p>
      <w:pPr>
        <w:jc w:val="both"/>
        <w:ind w:firstLine="1304"/>
        <w:spacing w:after="0" w:line="261" w:lineRule="auto"/>
        <w:tabs>
          <w:tab w:leader="none" w:pos="157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by the Purchaser or the Company if any of the conditions to the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not been satisfied or waived by November 3, 2022 (the “</w:t>
      </w:r>
      <w:r>
        <w:rPr>
          <w:rFonts w:ascii="Times New Roman" w:cs="Times New Roman" w:eastAsia="Times New Roman" w:hAnsi="Times New Roman"/>
          <w:sz w:val="18"/>
          <w:szCs w:val="18"/>
          <w:b w:val="1"/>
          <w:bCs w:val="1"/>
          <w:i w:val="1"/>
          <w:iCs w:val="1"/>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right to terminate this Agreement under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shall not be available to a Party if the breach or violation by such Party or its Affiliates of any representation, warranty, covenant or obligation under this Agreement was the case of, or resulted in, the failure of the Closing to occur on or before the Outside Date;</w:t>
      </w:r>
    </w:p>
    <w:p>
      <w:pPr>
        <w:spacing w:after="0" w:line="98" w:lineRule="exact"/>
        <w:rPr>
          <w:rFonts w:ascii="Times New Roman" w:cs="Times New Roman" w:eastAsia="Times New Roman" w:hAnsi="Times New Roman"/>
          <w:sz w:val="18"/>
          <w:szCs w:val="18"/>
          <w:color w:val="auto"/>
        </w:rPr>
      </w:pPr>
    </w:p>
    <w:p>
      <w:pPr>
        <w:ind w:right="140" w:firstLine="1304"/>
        <w:spacing w:after="0" w:line="266" w:lineRule="auto"/>
        <w:tabs>
          <w:tab w:leader="none" w:pos="154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by either the Purchaser or the Company if a Governmental Authority of competent jurisdiction shall have issued an Order or taken any other action permanently restraining, enjoining or otherwise prohibiting the transactions contemplated by this Agreement, and such Order or other action has become final and non-appealable;</w:t>
      </w:r>
    </w:p>
    <w:p>
      <w:pPr>
        <w:spacing w:after="0" w:line="108" w:lineRule="exact"/>
        <w:rPr>
          <w:rFonts w:ascii="Times New Roman" w:cs="Times New Roman" w:eastAsia="Times New Roman" w:hAnsi="Times New Roman"/>
          <w:sz w:val="18"/>
          <w:szCs w:val="18"/>
          <w:color w:val="auto"/>
        </w:rPr>
      </w:pPr>
    </w:p>
    <w:p>
      <w:pPr>
        <w:jc w:val="both"/>
        <w:ind w:right="180" w:firstLine="1304"/>
        <w:spacing w:after="0" w:line="277" w:lineRule="auto"/>
        <w:tabs>
          <w:tab w:leader="none" w:pos="1551"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written notice by the Company to the Purchaser, if (i) there has been a breach by the Purchaser of any of its representations, warranties, covenants or agreements contained in this Agreement, or if any representation or warranty of the Purchaser shall have become untrue or inaccurate, in any case, which would result in a failure of a condition set forth in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xml:space="preserve"> to be satisfied (treating the Closing Date for such purposes as the date of this Agreement or, if later, the date of such breach), and (ii) the breach or inaccuracy is incapable of being cured or is not cured within the earlier of (A) thirty (30) days after written notice of such breach or inaccuracy is provided to the Purchaser or (B) the Outside Date;</w:t>
      </w:r>
    </w:p>
    <w:p>
      <w:pPr>
        <w:spacing w:after="0" w:line="100" w:lineRule="exact"/>
        <w:rPr>
          <w:rFonts w:ascii="Times New Roman" w:cs="Times New Roman" w:eastAsia="Times New Roman" w:hAnsi="Times New Roman"/>
          <w:sz w:val="17"/>
          <w:szCs w:val="17"/>
          <w:color w:val="auto"/>
        </w:rPr>
      </w:pPr>
    </w:p>
    <w:p>
      <w:pPr>
        <w:ind w:right="180" w:firstLine="1304"/>
        <w:spacing w:after="0" w:line="277" w:lineRule="auto"/>
        <w:tabs>
          <w:tab w:leader="none" w:pos="1541"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written notice by the Purchaser to the Company, if (i) there has been a breach by the Company of any of its representations, warranties, covenants or agreements contained in this Agreement, or if any representation or warranty of such Parties shall have become untrue or inaccurate, in any case, which would result in a failure of a condition set forth in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6.3(b)</w:t>
      </w:r>
      <w:r>
        <w:rPr>
          <w:rFonts w:ascii="Times New Roman" w:cs="Times New Roman" w:eastAsia="Times New Roman" w:hAnsi="Times New Roman"/>
          <w:sz w:val="17"/>
          <w:szCs w:val="17"/>
          <w:color w:val="auto"/>
        </w:rPr>
        <w:t xml:space="preserve"> to be satisfied (treating the Closing Date for such purposes as the date of this Agreement or, if later, the date of such breach), and (ii) the breach or inaccuracy is incapable of being cured or is not cured within the earlier of (A) thirty (30) days after written notice of such breach or inaccuracy is provided to the Company or (B) the Outside Date;</w:t>
      </w:r>
    </w:p>
    <w:p>
      <w:pPr>
        <w:spacing w:after="0" w:line="86" w:lineRule="exact"/>
        <w:rPr>
          <w:rFonts w:ascii="Times New Roman" w:cs="Times New Roman" w:eastAsia="Times New Roman" w:hAnsi="Times New Roman"/>
          <w:sz w:val="17"/>
          <w:szCs w:val="17"/>
          <w:color w:val="auto"/>
        </w:rPr>
      </w:pPr>
    </w:p>
    <w:p>
      <w:pPr>
        <w:ind w:right="120" w:firstLine="1304"/>
        <w:spacing w:after="0" w:line="282" w:lineRule="auto"/>
        <w:tabs>
          <w:tab w:leader="none" w:pos="152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by the Purchaser to the Company, if there shall have been a Material Adverse Effect on the Target Companies taken as a whole following the date of this Agreement which is uncured and continuing;</w:t>
      </w:r>
    </w:p>
    <w:p>
      <w:pPr>
        <w:spacing w:after="0" w:line="94" w:lineRule="exact"/>
        <w:rPr>
          <w:rFonts w:ascii="Times New Roman" w:cs="Times New Roman" w:eastAsia="Times New Roman" w:hAnsi="Times New Roman"/>
          <w:sz w:val="18"/>
          <w:szCs w:val="18"/>
          <w:color w:val="auto"/>
        </w:rPr>
      </w:pPr>
    </w:p>
    <w:p>
      <w:pPr>
        <w:ind w:right="40" w:firstLine="1304"/>
        <w:spacing w:after="0" w:line="266" w:lineRule="auto"/>
        <w:tabs>
          <w:tab w:leader="none" w:pos="155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by either the Purchaser or the Company to the other, if the Purchaser Special Meeting is held (including any adjournment or postponement thereof) and has concluded, the Purchaser’s stockholders have duly voted, and the Required Purchaser Stockholder Approval was not obtained; or</w:t>
      </w:r>
    </w:p>
    <w:p>
      <w:pPr>
        <w:spacing w:after="0" w:line="108" w:lineRule="exact"/>
        <w:rPr>
          <w:rFonts w:ascii="Times New Roman" w:cs="Times New Roman" w:eastAsia="Times New Roman" w:hAnsi="Times New Roman"/>
          <w:sz w:val="18"/>
          <w:szCs w:val="18"/>
          <w:color w:val="auto"/>
        </w:rPr>
      </w:pPr>
    </w:p>
    <w:p>
      <w:pPr>
        <w:ind w:right="140" w:firstLine="1304"/>
        <w:spacing w:after="0" w:line="266" w:lineRule="auto"/>
        <w:tabs>
          <w:tab w:leader="none" w:pos="155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by either the Purchaser or the Company to the other, if the Company Special Meeting is held (including any adjournment or postponement thereof) and has concluded, the Company Stockholders have duly voted, and the Required Company Stockholder Approval was not obtained.</w:t>
      </w:r>
    </w:p>
    <w:p>
      <w:pPr>
        <w:spacing w:after="0" w:line="9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This Agreement may only be terminated in the circumstances described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pursuant to a written notice delivered by the applicable Party to the other applicable Parties, which sets forth the basis for such termination, including the provision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under which such termination is made. In the event of the valid termination of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this Agreement shall forthwith become void, and there shall be no Liability on the part of any Party or any of their respective Representatives, and all rights and obligations of each Party shall cease, except: (i) </w:t>
      </w:r>
      <w:r>
        <w:rPr>
          <w:rFonts w:ascii="Times New Roman" w:cs="Times New Roman" w:eastAsia="Times New Roman" w:hAnsi="Times New Roman"/>
          <w:sz w:val="18"/>
          <w:szCs w:val="18"/>
          <w:u w:val="single" w:color="auto"/>
          <w:color w:val="auto"/>
        </w:rPr>
        <w:t>Sections 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9.16</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survive the termination of this Agreement, and (ii) nothing herein shall relieve any Party from Liability for any willful breach of any representation, warranty, covenant or obligation under this Agreement or any Fraud Claim against such Party, in either case, prior to termination of this Agreement (in each case of clauses (i) and (ii) above, subject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Without limiting the foregoing, and except as provided in </w:t>
      </w:r>
      <w:r>
        <w:rPr>
          <w:rFonts w:ascii="Times New Roman" w:cs="Times New Roman" w:eastAsia="Times New Roman" w:hAnsi="Times New Roman"/>
          <w:sz w:val="18"/>
          <w:szCs w:val="18"/>
          <w:u w:val="single" w:color="auto"/>
          <w:color w:val="auto"/>
        </w:rPr>
        <w:t>Sections 7.3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subject to the right to seek injunctions, specific performance or other equitable relief in accordance with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the Parties’ sole right prior to the Closing with respect to any breach of any representation, warranty, covenant or other agreement contained in this Agreement by another Party or with respect to the transactions contemplated by this Agreement shall be the right, if applicable, to terminate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63" w:name="page264"/>
    <w:bookmarkEnd w:id="263"/>
    <w:p>
      <w:pPr>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all Expenses incurred in connection with this Agreement and the transactions contemplated hereby shall be paid by the Party incurring such expenses. As used in this Agreement,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out-of-pocket expenses (including all fees and expenses of counsel, accountants, investment bankers, financial advisors, financing sources, experts and consultants to a Party hereto or any of its Affiliates) incurred by a Party or on its behalf in connection with or related to the authorization, preparation, negotiation, execution or performance of this Agreement or any Ancillary Document related hereto and all other matters related to the consummation of this Agreement. With respect to the Purchaser, Expenses shall include any and all deferred expenses (including fees or commissions payable to the underwriters and any legal fees) of the Purchaser IPO upon consummation of a Business Combination and any Extension Expenses. Notwithstanding the foregoing, the Purchaser and the Company each agree to each be responsible for fifty percent (50%) of all filing fees and expenses, if any, under any applicable Antitrust Laws, including the fees and expenses relating to any pre-merger notification required under the Hart-Scott-Rodino Antitrust Improvements Act of 1976 as amended (“</w:t>
      </w:r>
      <w:r>
        <w:rPr>
          <w:rFonts w:ascii="Times New Roman" w:cs="Times New Roman" w:eastAsia="Times New Roman" w:hAnsi="Times New Roman"/>
          <w:sz w:val="18"/>
          <w:szCs w:val="18"/>
          <w:b w:val="1"/>
          <w:bCs w:val="1"/>
          <w:i w:val="1"/>
          <w:iCs w:val="1"/>
          <w:color w:val="auto"/>
        </w:rPr>
        <w:t>Antitrust Expenses</w:t>
      </w:r>
      <w:r>
        <w:rPr>
          <w:rFonts w:ascii="Times New Roman" w:cs="Times New Roman" w:eastAsia="Times New Roman" w:hAnsi="Times New Roman"/>
          <w:sz w:val="18"/>
          <w:szCs w:val="18"/>
          <w:color w:val="auto"/>
        </w:rPr>
        <w:t>”) or for other regulatory filings made prior to the Closing and SEC registration fees, if any.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TRUST WAIVER</w:t>
      </w:r>
    </w:p>
    <w:p>
      <w:pPr>
        <w:spacing w:after="0" w:line="139"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Waiver of Claims Against Trust</w:t>
      </w:r>
      <w:r>
        <w:rPr>
          <w:rFonts w:ascii="Times New Roman" w:cs="Times New Roman" w:eastAsia="Times New Roman" w:hAnsi="Times New Roman"/>
          <w:sz w:val="18"/>
          <w:szCs w:val="18"/>
          <w:color w:val="auto"/>
        </w:rPr>
        <w:t>. Reference is made to the Purchaser IPO Prospectus. The Company hereby represents and warrants that it has read the Purchaser IPO Prospectus and understands that the Purchaser has established the Trust Account containing the proceeds of the Purchaser IPO and the overallotment shares acquired by the Purchaser’s underwriters and from certain private placements occurring simultaneously with the Purchaser IPO (including interest accrued from time to time thereon) for the benefit of the Purchaser’s public stockholders (including overallotment shares acquired by the Purchaser’s underwriters) (the “</w:t>
      </w:r>
      <w:r>
        <w:rPr>
          <w:rFonts w:ascii="Times New Roman" w:cs="Times New Roman" w:eastAsia="Times New Roman" w:hAnsi="Times New Roman"/>
          <w:sz w:val="18"/>
          <w:szCs w:val="18"/>
          <w:b w:val="1"/>
          <w:bCs w:val="1"/>
          <w:i w:val="1"/>
          <w:iCs w:val="1"/>
          <w:color w:val="auto"/>
        </w:rPr>
        <w:t>Public Stockholders</w:t>
      </w:r>
      <w:r>
        <w:rPr>
          <w:rFonts w:ascii="Times New Roman" w:cs="Times New Roman" w:eastAsia="Times New Roman" w:hAnsi="Times New Roman"/>
          <w:sz w:val="18"/>
          <w:szCs w:val="18"/>
          <w:color w:val="auto"/>
        </w:rPr>
        <w:t>”) and that, except as otherwise described in the Purchaser IPO Prospectus, the Purchaser may disburse monies from the Trust Account only: (a) to the Public Stockholders in the event they elect to redeem their Purchaser Ordinary Shares in connection with the consummation of the Business Combination or in connection with an amendment to the Purchaser’s Organizational Documents to extend Purchaser’s deadline to consummate a Business Combination, (b) to the Public Stockholders if the Purchaser fails to consummate a Business Combination within eighteen (18) months after the closing of the Purchaser IPO, subject to extension by amendment to the Purchaser’s Organizational Documents, (c) with respect to any interest earned on the amounts held in the Trust Account, amounts necessary to pay for any taxes and up to $50,000 in dissolution expenses, and (d) to the Purchaser after or concurrently with the consummation of a Business Combination. For and in consideration of the Purchaser entering into this Agreement and for other good and valuable consideration, the receipt and sufficiency of which is hereby acknowledged, the Company hereby agrees on behalf of itself and its Affiliates that, notwithstanding anything to the contrary in this Agreement, neither the Company nor any of its Affiliates do now or shall at any time hereafter have any right, title, interest or claim of any kind in or to any monies in the Trust Account or distributions therefrom, or make any claim against the Trust Account (including any distributions therefrom), regardless of whether such claim arises as a result of, in connection with or relating in any way to, this Agreement or any proposed or actual business relationship between the Purchaser or any of its Representatives, on the one hand, and the Company or any of its Representatives, on the other hand, or any other matter, and regardless of whether such claim arises based on contract, tort, equity or any other theory of legal liability (collectively, the “</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The Company on behalf of itself and its Affiliates hereby irrevocably waives any Released Claims that the Company or any of its Affiliates may have against the Trust Account (including any distributions therefrom) now or in the future as a result of, or arising out of, any negotiations, contracts or agreements with the Purchaser or its Representatives and will not seek recourse against the Trust Account (including any distributions therefrom) for any reason whatsoever (including for an alleged breach of this Agreement or any other agreement with Purchaser or its Affiliates). The Company agrees and acknowledges that such irrevocable waiver is material to this Agreement and specifically relied upon by the Purchaser and its Affiliates to induce the Purchaser to enter in this Agreement, and the Company further intends and understands such waiver to be valid, binding and enforceable against the Company and each of its Affiliates under applicable Law. To the extent that the Company or any of its Affiliates commences any Action based upon, in connection with, relating to or arising out of any matter relating to the Purchaser or its Representatives, which proceeding seeks, in whole or in part, monetary relief against the Purchaser or its Representatives, the Company hereby acknowledges and agrees that its and its Affiliates’ sole remedy shall be against funds held outside of the Trust Account and that such claim shall not permit the Company or any of its Affiliates (or any Person claiming on any of their behalves or in lieu of them) to have any claim against the Trust Account (including any distributions therefrom) or any amounts contained therein. In the event that the Company or any of its Affiliates commences Action based upon, in connection with, relating to or arising out of any matter relating to the Purchaser or its Representatives which proceeding seeks, in whole or in part, relief against the Trust Account (including any distributions therefrom) or the Public Stockholders, whether in the form of money damages or injunctive relief, the Purchaser and its Representatives, as applicable, shall be entitled to recover from the Company and its Affiliates, as applicable, the associated legal fees and costs in connection with any such Action, in the event the Purchaser or its Representatives, as applicable, prevails in such Action. This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64" w:name="page265"/>
    <w:bookmarkEnd w:id="264"/>
    <w:p>
      <w:pPr>
        <w:ind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survive termination of this Agreement for any reason and continue indefinitely. Notwithstanding the foregoing, (a) nothing herein shall serve to limit or prohibit the Company’s right to pursue a claim against Purchaser for legal relief against monies or other assets held outside the Trust Account, for specific performance or other equitable relief (but excluding (i) restitution, disgorgement or other equitable relief to the extent affecting funds in the Trust Account or (ii) funds released from the Trust Account to the Public Stockholders or any assets purchased or acquired with such funds) in connection with the consummation of the transactions contemplated hereby (including a claim for Purchaser to specifically perform its obligations under this Agreement) so long as such claim would not affect Purchaser’s ability to fulfill its obligation to effectuate any Redemptions, and (b) nothing herein shall serve to limit or prohibit any claims that the Company may have in the future against Purchaser’s assets or funds that are not held in the Trust Account (including any funds that have been released from the Trust Account and any assets that have been purchased or acquired with any such funds, but excluding distributions to Public Stockholders).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39"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of the Parties contained in this Agreement or in any certificate or instrument delivered by or on behalf of the Parties pursuant to this Agreement shall not survive the Closing, and from and after the Closing, the Parties and their respective Representatives shall not have any further obligations, nor shall any claim be asserted or action be brought against the Parties or their respective Representatives with respect thereto. The covenants and agreements made by the Parties in this Agreement or in any certificate or instrument delivered pursuant to this Agreement, including any rights arising out of any breach of such covenants or agreements, shall not survive the Closing, except for those covenants and agreements contained herein and therein that by their terms apply or are to be performed in whole or in part after the Closing (which such covenants shall survive the Closing and continue until fully performed in accordance with their terms).</w:t>
      </w:r>
    </w:p>
    <w:p>
      <w:pPr>
        <w:spacing w:after="0" w:line="121"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hereby may only be brought against, the entities that are expressly named as Parties and then only with respect to the specific obligations set forth herein with respect to such Party. Except to the extent a Party (and then only to the extent of the specific obligations undertaken by such Party in this Agreement), (a) no past, present or future director, officer, employee, sponsor, incorporator, member, partner, stockholder, Affiliate, agent, attorney, advisor or representative or Affiliate of any Party and (b) no past, present or future director, officer, employee, sponsor,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Purchaser, Merger Sub or the Company under this Agreement of or for any claim based on, arising out of, or related to this Agreement or the transactions contemplated hereby.</w:t>
      </w:r>
    </w:p>
    <w:p>
      <w:pPr>
        <w:spacing w:after="0" w:line="107"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waivers and other communications hereunder shall be in writing and shall be deemed to have been duly given when delivered (i) in person, (ii) by facsimile or other electronic means (including email), with affirmative confirmation of receipt, (iii) one Business Day after being sent, if sent by reputable, nationally recognized overnight courier service or (iv) three (3) Business Days after being mailed, if sent by registered or certified mail, pre-paid and return receipt requested, in each case to the applicable Party at the following addresses (or at such other address for a Party as shall be specified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If to the Purchaser or Merger Sub at or prior to the Closing, to:</w:t>
            </w:r>
          </w:p>
        </w:tc>
        <w:tc>
          <w:tcPr>
            <w:tcW w:w="5680" w:type="dxa"/>
            <w:vAlign w:val="bottom"/>
            <w:gridSpan w:val="2"/>
          </w:tcPr>
          <w:p>
            <w:pPr>
              <w:ind w:left="940"/>
              <w:spacing w:after="0"/>
              <w:rPr>
                <w:sz w:val="20"/>
                <w:szCs w:val="20"/>
                <w:color w:val="auto"/>
              </w:rPr>
            </w:pPr>
            <w:r>
              <w:rPr>
                <w:rFonts w:ascii="Times New Roman" w:cs="Times New Roman" w:eastAsia="Times New Roman" w:hAnsi="Times New Roman"/>
                <w:sz w:val="18"/>
                <w:szCs w:val="18"/>
                <w:i w:val="1"/>
                <w:iCs w:val="1"/>
                <w:color w:val="auto"/>
              </w:rPr>
              <w:t>with a copy (which will not constitute notice) to:</w:t>
            </w:r>
          </w:p>
        </w:tc>
      </w:tr>
      <w:tr>
        <w:trPr>
          <w:trHeight w:val="56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Bull Horn Holdings Corp.</w:t>
            </w:r>
          </w:p>
        </w:tc>
        <w:tc>
          <w:tcPr>
            <w:tcW w:w="56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Ellenoff Grossman &amp; Schole LLP</w:t>
            </w:r>
          </w:p>
        </w:tc>
      </w:tr>
      <w:tr>
        <w:trPr>
          <w:trHeight w:val="331"/>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801 S. Pointe Drive, Suite TH-1</w:t>
            </w:r>
          </w:p>
        </w:tc>
        <w:tc>
          <w:tcPr>
            <w:tcW w:w="56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1345 Avenue of the Americas, 11</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tc>
      </w:tr>
      <w:tr>
        <w:trPr>
          <w:trHeight w:val="23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Miami Beach, Florida 33139</w:t>
            </w:r>
          </w:p>
        </w:tc>
        <w:tc>
          <w:tcPr>
            <w:tcW w:w="56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New York, New York 10105</w:t>
            </w:r>
          </w:p>
        </w:tc>
      </w:tr>
      <w:tr>
        <w:trPr>
          <w:trHeight w:val="28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4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Robert Striar, CEO</w:t>
            </w:r>
          </w:p>
        </w:tc>
        <w:tc>
          <w:tcPr>
            <w:tcW w:w="23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Attn:</w:t>
            </w: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Stuart Neuhauser, Esq.</w:t>
            </w: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4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(305) 671-3341</w:t>
            </w:r>
          </w:p>
        </w:tc>
        <w:tc>
          <w:tcPr>
            <w:tcW w:w="2340" w:type="dxa"/>
            <w:vAlign w:val="bottom"/>
          </w:tcPr>
          <w:p>
            <w:pPr>
              <w:spacing w:after="0"/>
              <w:rPr>
                <w:sz w:val="24"/>
                <w:szCs w:val="24"/>
                <w:color w:val="auto"/>
              </w:rPr>
            </w:pP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Matthew A. Gray, Esq.</w:t>
            </w: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4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stri@bullhornse.com</w:t>
            </w:r>
          </w:p>
        </w:tc>
        <w:tc>
          <w:tcPr>
            <w:tcW w:w="23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Facsimile No.:</w:t>
            </w: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(212) 370-7889</w:t>
            </w:r>
          </w:p>
        </w:tc>
      </w:tr>
      <w:tr>
        <w:trPr>
          <w:trHeight w:val="284"/>
        </w:trPr>
        <w:tc>
          <w:tcPr>
            <w:tcW w:w="1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Telephone No.:</w:t>
            </w: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(212) 370-1300</w:t>
            </w:r>
          </w:p>
        </w:tc>
      </w:tr>
      <w:tr>
        <w:trPr>
          <w:trHeight w:val="283"/>
        </w:trPr>
        <w:tc>
          <w:tcPr>
            <w:tcW w:w="1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Email:</w:t>
            </w: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sneuhauser@egsllp.com</w:t>
            </w:r>
          </w:p>
        </w:tc>
      </w:tr>
      <w:tr>
        <w:trPr>
          <w:trHeight w:val="283"/>
        </w:trPr>
        <w:tc>
          <w:tcPr>
            <w:tcW w:w="1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mgray@egsllp.com</w:t>
            </w:r>
          </w:p>
        </w:tc>
      </w:tr>
      <w:tr>
        <w:trPr>
          <w:trHeight w:val="40"/>
        </w:trPr>
        <w:tc>
          <w:tcPr>
            <w:tcW w:w="150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3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If to the Company or the Surviving Corporation, to:</w:t>
            </w:r>
          </w:p>
        </w:tc>
        <w:tc>
          <w:tcPr>
            <w:tcW w:w="6020" w:type="dxa"/>
            <w:vAlign w:val="bottom"/>
            <w:gridSpan w:val="2"/>
          </w:tcPr>
          <w:p>
            <w:pPr>
              <w:ind w:left="740"/>
              <w:spacing w:after="0"/>
              <w:rPr>
                <w:sz w:val="20"/>
                <w:szCs w:val="20"/>
                <w:color w:val="auto"/>
              </w:rPr>
            </w:pPr>
            <w:r>
              <w:rPr>
                <w:rFonts w:ascii="Times New Roman" w:cs="Times New Roman" w:eastAsia="Times New Roman" w:hAnsi="Times New Roman"/>
                <w:sz w:val="18"/>
                <w:szCs w:val="18"/>
                <w:i w:val="1"/>
                <w:iCs w:val="1"/>
                <w:color w:val="auto"/>
              </w:rPr>
              <w:t>with a copy (which will not constitute notice) to:</w:t>
            </w:r>
          </w:p>
        </w:tc>
      </w:tr>
      <w:tr>
        <w:trPr>
          <w:trHeight w:val="56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Coeptis Therapeutics, Inc.</w:t>
            </w:r>
          </w:p>
        </w:tc>
        <w:tc>
          <w:tcPr>
            <w:tcW w:w="6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Meister Seelig &amp; Fein LLP</w:t>
            </w:r>
          </w:p>
        </w:tc>
      </w:tr>
      <w:tr>
        <w:trPr>
          <w:trHeight w:val="331"/>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 Bradford Road, Suite 420</w:t>
            </w:r>
          </w:p>
        </w:tc>
        <w:tc>
          <w:tcPr>
            <w:tcW w:w="6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125 Park Avenue,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tc>
      </w:tr>
      <w:tr>
        <w:trPr>
          <w:trHeight w:val="23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Wexford, PA 15090</w:t>
            </w:r>
          </w:p>
        </w:tc>
        <w:tc>
          <w:tcPr>
            <w:tcW w:w="3560" w:type="dxa"/>
            <w:vAlign w:val="bottom"/>
          </w:tcPr>
          <w:p>
            <w:pPr>
              <w:spacing w:after="0"/>
              <w:rPr>
                <w:sz w:val="20"/>
                <w:szCs w:val="20"/>
                <w:color w:val="auto"/>
              </w:rPr>
            </w:pPr>
          </w:p>
        </w:tc>
        <w:tc>
          <w:tcPr>
            <w:tcW w:w="6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New York, New York 10017</w:t>
            </w:r>
          </w:p>
        </w:tc>
      </w:tr>
      <w:tr>
        <w:trPr>
          <w:trHeight w:val="28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David Mehalick, CEO</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Attn:</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Denis A. Dufresne, Esq.</w:t>
            </w:r>
          </w:p>
        </w:tc>
      </w:tr>
      <w:tr>
        <w:trPr>
          <w:trHeight w:val="28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(724) 268-4118</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Facsimile No.:</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(212) 655-3535</w:t>
            </w:r>
          </w:p>
        </w:tc>
      </w:tr>
      <w:tr>
        <w:trPr>
          <w:trHeight w:val="28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(724) 934-6467</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Telephone No.:</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(212) 655-3500</w:t>
            </w:r>
          </w:p>
        </w:tc>
      </w:tr>
      <w:tr>
        <w:trPr>
          <w:trHeight w:val="28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dave.mehalick@coeptispharma.com</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Email:</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dad@msf-law.com</w:t>
            </w:r>
          </w:p>
        </w:tc>
      </w:tr>
      <w:tr>
        <w:trPr>
          <w:trHeight w:val="40"/>
        </w:trPr>
        <w:tc>
          <w:tcPr>
            <w:tcW w:w="166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xml:space="preserve">. This Agreement and all of the provisions hereof shall be binding upon and inure to the benefit of the Parties hereto and their respective successors and permitted assigns. This Agreement shall not be assigned by operation of Law or otherwise without the prior written consent of the Purchaser and the Company, and any assignment without such consent shall be null and void;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assignment shall relieve the assigning Party of its obligations hereunder.</w:t>
      </w:r>
    </w:p>
    <w:p>
      <w:pPr>
        <w:spacing w:after="0" w:line="99"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Except for the rights of (i) the D&amp;O Indemnified Persons set forth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and (ii) the Sponsor under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which the Parties acknowledge and agree are each express third party beneficiaries of such respective sections of this Agreement, nothing contained in this Agreement or in any instrument or document executed by any party in connection with the transactions contemplated hereby shall create any rights in, or be deemed to have been executed for the benefit of, any Person that is not a Party hereto or thereto or a successor or permitted assign of such a Party.</w:t>
      </w:r>
    </w:p>
    <w:p>
      <w:pPr>
        <w:spacing w:after="0" w:line="112"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Any and all disputes, controversies and claims (other than applications for specific performance, a temporary restraining order, preliminary injunction, permanent injunction or other equitable relief or application for enforcement of a resolution under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arising out of, related to, or in connection with this Agreement or the transactions contemplated hereby (a “</w:t>
      </w:r>
      <w:r>
        <w:rPr>
          <w:rFonts w:ascii="Times New Roman" w:cs="Times New Roman" w:eastAsia="Times New Roman" w:hAnsi="Times New Roman"/>
          <w:sz w:val="18"/>
          <w:szCs w:val="18"/>
          <w:b w:val="1"/>
          <w:bCs w:val="1"/>
          <w:i w:val="1"/>
          <w:iCs w:val="1"/>
          <w:color w:val="auto"/>
        </w:rPr>
        <w:t>Dispute</w:t>
      </w:r>
      <w:r>
        <w:rPr>
          <w:rFonts w:ascii="Times New Roman" w:cs="Times New Roman" w:eastAsia="Times New Roman" w:hAnsi="Times New Roman"/>
          <w:sz w:val="18"/>
          <w:szCs w:val="18"/>
          <w:color w:val="auto"/>
        </w:rPr>
        <w:t xml:space="preserve">”) shall be governed by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A party must, in the first instance, provide written notice of any Disputes to the other parties subject to such Dispute, which notice must provide a reasonably detailed description of the matters subject to the Dispute. The parties involved in such Dispute shall seek to resolve the Dispute on an amicable basis within ten (10) Business Days of the notice of such Dispute being received by such other parties subject to such Dispute (the “</w:t>
      </w:r>
      <w:r>
        <w:rPr>
          <w:rFonts w:ascii="Times New Roman" w:cs="Times New Roman" w:eastAsia="Times New Roman" w:hAnsi="Times New Roman"/>
          <w:sz w:val="18"/>
          <w:szCs w:val="18"/>
          <w:b w:val="1"/>
          <w:bCs w:val="1"/>
          <w:i w:val="1"/>
          <w:iCs w:val="1"/>
          <w:color w:val="auto"/>
        </w:rPr>
        <w:t>Resolution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any Dispute would reasonably be expected to have become moot or otherwise irrelevant if not decided within sixty (60) days after the occurrence of such Dispute, then there shall be no Resolution Period with respect to such Dispute. Any Dispute that is not resolved during the Resolution Period may immediately be referred to and finally resolved by arbitration pursuant to the then-existing Expedited Procedures (as defined in the AAA Procedures) of the Commercial Arbitration Rules (the “</w:t>
      </w:r>
      <w:r>
        <w:rPr>
          <w:rFonts w:ascii="Times New Roman" w:cs="Times New Roman" w:eastAsia="Times New Roman" w:hAnsi="Times New Roman"/>
          <w:sz w:val="18"/>
          <w:szCs w:val="18"/>
          <w:b w:val="1"/>
          <w:bCs w:val="1"/>
          <w:i w:val="1"/>
          <w:iCs w:val="1"/>
          <w:color w:val="auto"/>
        </w:rPr>
        <w:t>AAA Procedures</w:t>
      </w:r>
      <w:r>
        <w:rPr>
          <w:rFonts w:ascii="Times New Roman" w:cs="Times New Roman" w:eastAsia="Times New Roman" w:hAnsi="Times New Roman"/>
          <w:sz w:val="18"/>
          <w:szCs w:val="18"/>
          <w:color w:val="auto"/>
        </w:rPr>
        <w:t xml:space="preserve">”) of the AAA. Any party involved in such Dispute may submit the Dispute to the AAA to commence the proceedings after the Resolution Period. To the extent that the AAA Procedures and this Agreement are in conflict, the terms of this Agreement shall control. The arbitration shall be conducted by one arbitrator nominated by the AAA promptly (but in any event within five (5) Business Days) after the submission of the Dispute to the AAA and reasonably acceptable to each party subject to the Dispute, which arbitrator shall be a commercial lawyer with substantial experience arbitrating disputes under acquisition agreements. The arbitrator shall accept his or her appointment and begin the arbitration process promptly (but in any event within five (5) Business Days) after his or her nomination and acceptance by the parties subject to the Dispute. The proceedings shall be streamlined and efficient. The arbitrator shall decide the Dispute in accordance with the substantive law of the state of Delaware. Time is of the essence. Each party subject to the Dispute shall submit a proposal for resolution of the Dispute to the arbitrator within twenty (20) days after confirmation of the appointment of the arbitrator. The arbitrator shall have the power to order any party to do, or to refrain from doing, anything consistent with this Agreement, the Ancillary Documents and applicable Law, including to perform its contractual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arbitrator shall be limited to ordering pursuant to the foregoing power (and, for the avoidance of doubt, shall order) the relevant party (or parties, as applicable) to comply (i) with respect to monetary relief, within the parameters established by the two proposals with respect to monetary damages (the parties expressly understand and agree that the arbitrator’s power shall be constrained with respect to monetary relief such that he or she may not grant greater monetary relief than sought by a party) and (ii) with respect to non-monetary relief, with only one or the other of the proposals (the parties expressly understand and agree that the arbitrator’s power shall be constrained with respect to non-monetary relief such that he or she may not award non-monetary relief, including declaratory or injunctive relief, which has not explicitly been sought by one of the parties in their respective resolution proposals). The arbitrator’s award shall be in writing and shall include a reasonable explanation of the arbitrator’s reason(s) for selecting one or the other proposal. The seat of arbitration shall be in Wilmington, Delaware. The language of the arbitration shall be English.</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66" w:name="page267"/>
    <w:bookmarkEnd w:id="266"/>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xml:space="preserve">. This Agreement shall be governed by, construed and enforced in accordance with the Laws of the State of Delaware without regard to the conflict of laws principles thereof. Subject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all Actions arising out of or relating to this Agreement shall be heard and determined exclusively in any state or federal court located in Wilmington, Delaware (or in any appellate court thereof) (the “</w:t>
      </w:r>
      <w:r>
        <w:rPr>
          <w:rFonts w:ascii="Times New Roman" w:cs="Times New Roman" w:eastAsia="Times New Roman" w:hAnsi="Times New Roman"/>
          <w:sz w:val="18"/>
          <w:szCs w:val="18"/>
          <w:b w:val="1"/>
          <w:bCs w:val="1"/>
          <w:i w:val="1"/>
          <w:iCs w:val="1"/>
          <w:color w:val="auto"/>
        </w:rPr>
        <w:t>Specified Courts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each Party hereto hereby (a) submits to the exclusive jurisdiction of any Specified Court for the purpose of any Action arising out of or relating to this Agreement brought by any Party hereto and (b) irrevocably waives, and agrees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any Specified Court. Each Party agrees that a final judgment in any Action shall be conclusive and may be enforced in other jurisdictions by suit on the judgment or in any other manner provided by Law. Each Party irrevocably consents to the service of the summons and complaint and any other process in any other Action relating to the transactions contemplated by this Agreement, on behalf of itself, or its property, in the manner provided for notices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shall affect the right of any Party to serve legal process in any other manner permitted by Law.</w:t>
      </w:r>
    </w:p>
    <w:p>
      <w:pPr>
        <w:spacing w:after="0" w:line="109" w:lineRule="exact"/>
        <w:rPr>
          <w:sz w:val="20"/>
          <w:szCs w:val="20"/>
          <w:color w:val="auto"/>
        </w:rPr>
      </w:pPr>
    </w:p>
    <w:p>
      <w:pPr>
        <w:ind w:right="240" w:firstLine="432"/>
        <w:spacing w:after="0" w:line="272" w:lineRule="auto"/>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WAIVES TO THE FULLEST EXTENT PERMITTED BY APPLICABLE LAW ANY RIGHT IT MAY HAVE TO A TRIAL BY JURY WITH RESPECT TO ANY ACTION DIRECTLY OR INDIRECTLY ARISING OUT OF, UNDER OR IN CONNECTION WITH THIS AGREEMENT OR THE TRANSACTIONS CONTEMPLATED HEREBY. EACH PARTY HERETO</w:t>
      </w:r>
    </w:p>
    <w:p>
      <w:pPr>
        <w:spacing w:after="0" w:line="2" w:lineRule="exact"/>
        <w:rPr>
          <w:sz w:val="20"/>
          <w:szCs w:val="20"/>
          <w:color w:val="auto"/>
        </w:rPr>
      </w:pPr>
    </w:p>
    <w:p>
      <w:pPr>
        <w:ind w:right="500" w:firstLine="8"/>
        <w:spacing w:after="0" w:line="250" w:lineRule="auto"/>
        <w:tabs>
          <w:tab w:leader="none" w:pos="29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OF ANY OTHER PARTY HAS REPRESENTED, EXPRESSLY OR OTHERWISE, THAT SUCH OTHER PARTY WOULD NOT, IN THE EVENT OF ANY ACTION, SEEK TO ENFORCE THAT FOREGOING WAIVER AND</w:t>
      </w:r>
    </w:p>
    <w:p>
      <w:pPr>
        <w:ind w:right="580" w:firstLine="8"/>
        <w:spacing w:after="0" w:line="260" w:lineRule="auto"/>
        <w:tabs>
          <w:tab w:leader="none" w:pos="27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acknowledges that the rights of each Party to consummate the transactions contemplated hereby are unique, recognizes and affirms that in the event of a breach of this Agreement by any Party, money damages may be inadequate and the non-breaching Parties may have not adequate remedy at law, and agree that irreparable damage would occur in the event that any of the provisions of this Agreement were not performed by an applicable Party in accordance with their specific terms or were otherwise breached. Accordingly, each Party shall be entitled to seek an injunction or restraining order to prevent breaches of this Agreement and to seek to enforce specifically the terms and provisions hereof, without the requirement to post any bond or other security or to prove that money damages would be inadequate, this being in addition to any other right or remedy to which such Party may be entitled under this Agreement, at law or in equity.</w:t>
      </w:r>
    </w:p>
    <w:p>
      <w:pPr>
        <w:spacing w:after="0" w:line="12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in this Agreement shall be held invalid, illegal or unenforceable in a jurisdiction, such provision shall be modified or deleted, as to the jurisdiction involved, only to the extent necessary to render the same valid, legal and enforceable, and the validity, legality and enforceability of the remaining provisions hereof shall not in any way be affected or impaired thereby nor shall the validity, legality or enforceability of such provision be affected thereby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106"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supplemented or modified only by execution of a written instrument signed by the Purchaser and the Company.</w:t>
      </w:r>
    </w:p>
    <w:p>
      <w:pPr>
        <w:spacing w:after="0" w:line="9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Purchaser on behalf of itself and its Affiliates, the Company on behalf of itself and its Affiliates, may in its sole discretion (i) extend the time for the performance of any obligation or other act of any other non-Affiliated Party hereto, (ii) waive any inaccuracy in the representations and warranties by such other non-Affiliated Party contained herein or in any document delivered pursuant hereto and (iii) waive compliance by such other non-Affiliated Party with any covenant or condition contained herein. Any such extension or waiver shall be valid only if set forth in an instrument in writing signed by the Party or Parties to be bound thereby. Notwithstanding the foregoing, no failure or delay by a Party in exercising any right hereunder shall operate as a waiver thereof nor shall any single or partial exercise thereof preclude any other or further exercise of any other right hereunder.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67" w:name="page268"/>
    <w:bookmarkEnd w:id="267"/>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documents or instruments referred to herein, including any exhibits and schedules attached hereto, which exhibits and schedules are incorporated herein by reference, together with the Ancillary Documents, embody the entire agreement and understanding of the Parties hereto in respect of the subject matter contained herein. There are no restrictions, promises, representations, warranties, covenants or undertakings, other than those expressly set forth or referred to herein or the documents or instruments referred to herein, which collectively supersede all prior agreements and the understandings among the Parties with respect to the subject matter contained herein.</w:t>
      </w:r>
    </w:p>
    <w:p>
      <w:pPr>
        <w:spacing w:after="0" w:line="10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table of contents and the Article and Section headings contained in this Agreement are solely for the purpose of reference, are not part of the agreement of the Parties and shall not in any way affect the meaning or interpretation of this Agreement. In this Agreement, unless the context otherwise requires: (a) any pronoun used shall include the corresponding masculine, feminine or neuter forms, and words in the singular, including any defined terms, include the plural and vice versa; (b) reference to any Person includes such Person’s successors and assigns but, if applicable, only if such successors and assigns are permitted by this Agreement, and reference to a Person in a particular capacity excludes such Person in any other capacity;</w:t>
      </w:r>
    </w:p>
    <w:p>
      <w:pPr>
        <w:spacing w:after="0" w:line="3" w:lineRule="exact"/>
        <w:rPr>
          <w:sz w:val="20"/>
          <w:szCs w:val="20"/>
          <w:color w:val="auto"/>
        </w:rPr>
      </w:pPr>
    </w:p>
    <w:p>
      <w:pPr>
        <w:ind w:right="20" w:firstLine="8"/>
        <w:spacing w:after="0" w:line="250" w:lineRule="auto"/>
        <w:tabs>
          <w:tab w:leader="none" w:pos="24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accounting term used and not otherwise defined in this Agreement or any Ancillary Document has the meaning assigned to such term in accordance with GAAP; (d) “including” (and with correlative meaning “include”) means including without limiting the generality of any description preceding or succeeding such term and shall be deemed in each case to be followed by the words “without limitation”; (e) the words “herein,” “hereto,” and “hereby” and other words of similar import shall be deemed in each case to refer to this Agreement as a whole and not to any particular Section or other subdivision of this Agreement; (f) the word “if” and other words of similar import when used herein shall be deemed in each case to be followed by the phrase “and only if”; (g) the term “or” means “and/or”; (h) any reference to the term “ordinary course” or “ordinary course of business” shall be deemed in each case to be followed by the words “consistent with past practice”; (i) any agreement, instrument, insurance policy, Law or Order defined or referred to herein or in any agreement or instrument that is referred to herein means such agreement, instrument, insurance policy, Law or Order as from time to time amended, modified or supplemented, including (in the case of agreements or instruments) by waiver or consent and (in the case of statutes, regulations, rules or orders) by succession of comparable successor statutes, regulations, rules or orders and references to all attachments thereto and instruments incorporated therein; (j) except as otherwise indicated, all references in this Agreement to the words “Section,” “Article”, “Schedule” and “Exhibit” are intended to refer to Sections, Articles, Schedules and Exhibits to this Agreement; and (k) the term “Dollars” or “$” means United States dollars. Any reference in this Agreement to a Person’s directors shall include any member of such Person’s governing body and any reference in this Agreement to a Person’s officers shall include any Person filling a substantially similar position for such Person. Any reference in this Agreement or any Ancillary Document to a Person’s shareholders or stockholders shall include any applicable owners of the equity interests of such Person, in whatever form, including with respect to the Purchaser its shareholders (prior to the Domestication) under the Companies Act or its stockholders (after the Domestication) under the DGCL or its Organizational Documents.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 To the extent that any Contract, document, certificate or instrument is represented and warranted to by the Company to be given, delivered, provided or made available by the Company, in order for such Contract, document, certificate or instrument to have been deemed to have been given, delivered, provided and made available to the Purchaser or its Representatives, such Contract, document, certificate or instrument shall have been posted to the electronic data site maintained on behalf of the Company and made available to the Purchaser and its Representatives and the Purchaser and its Representatives have been given access to the electronic folders containing such information.</w:t>
      </w:r>
    </w:p>
    <w:p>
      <w:pPr>
        <w:spacing w:after="0" w:line="140"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each Ancillary Document may be executed and delivered (including by facsimile, pdf or other electronic transmission) in one or more counterparts, and by the different Parties hereto in separate counterparts, each of which when executed shall be deemed to be an original but all of which taken together shall constitute one and the same agreement.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68" w:name="page269"/>
    <w:bookmarkEnd w:id="268"/>
    <w:p>
      <w:pPr>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Legal Representation</w:t>
      </w:r>
      <w:r>
        <w:rPr>
          <w:rFonts w:ascii="Times New Roman" w:cs="Times New Roman" w:eastAsia="Times New Roman" w:hAnsi="Times New Roman"/>
          <w:sz w:val="18"/>
          <w:szCs w:val="18"/>
          <w:color w:val="auto"/>
        </w:rPr>
        <w:t>. The Parties agree that: (a) notwithstanding the fact that EGS may have, prior to Closing, jointly represented the Purchaser, Merger Sub and/or the Sponsor in connection with this Agreement, the Ancillary Documents and the transactions contemplated hereby and thereby, and has also represented the Purchaser and/or its Affiliates in connection with matters other than the transaction that is the subject of this Agreement, EGS will be permitted in the future, after Closing, to represent the Sponsor or its Affiliates in connection with matters in which such Persons are adverse to the Purchaser or any of its Affiliates, including any disputes arising out of, or related to, this Agreement. The Company, who is or has the right to be represented by independent counsel in connection with the transactions contemplated by this Agreement, hereby agrees, in advance, to waive (and to cause its Affiliates to waive) any actual or potential conflict of interest that may hereafter arise in connection with EGS’s future representation of one or more of the Sponsor or its Affiliates in which the interests of such Person are adverse to the interests of the Purchaser and/or the Company or any of their respective Affiliates, including any matters that arise out of this Agreement or that are substantially related to this Agreement or to any prior representation by EGS of the Purchaser, Merger Sub, the Sponsor or any of their respective Affiliates. The Parties acknowledge and agree that, for the purposes of the attorney-client privilege, the Sponsor be deemed the client of EGS with respect to the negotiation, execution and performance of this Agreement and the Ancillary Documents. All such communications shall remain privileged after the Closing and the privilege and the expectation of client confidence relating thereto shall belong solely to the Sponsor, shall be controlled by the Sponsor and shall not pass to or be claimed by the Purchaser or the Surviving</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Corporation;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contained herein shall be deemed to be a waiver by the Purchaser or any of its Affiliates (including, after the Effective Time, the Surviving Corporation and its Affiliates) of any applicable privileges or protections that can or may be asserted to prevent disclosure of any such communications to any third party; and (b) notwithstanding the fact that Meister Seelig &amp; Fein LLP (“</w:t>
      </w:r>
      <w:r>
        <w:rPr>
          <w:rFonts w:ascii="Times New Roman" w:cs="Times New Roman" w:eastAsia="Times New Roman" w:hAnsi="Times New Roman"/>
          <w:sz w:val="18"/>
          <w:szCs w:val="18"/>
          <w:b w:val="1"/>
          <w:bCs w:val="1"/>
          <w:i w:val="1"/>
          <w:iCs w:val="1"/>
          <w:color w:val="auto"/>
        </w:rPr>
        <w:t>MSF</w:t>
      </w:r>
      <w:r>
        <w:rPr>
          <w:rFonts w:ascii="Times New Roman" w:cs="Times New Roman" w:eastAsia="Times New Roman" w:hAnsi="Times New Roman"/>
          <w:sz w:val="18"/>
          <w:szCs w:val="18"/>
          <w:color w:val="auto"/>
        </w:rPr>
        <w:t>”) may have, prior to Closing, represented the Company in connection with this Agreement, the Ancillary Documents and the transactions contemplated hereby and thereby, and has also represented the Company and/or its Affiliates in connection with matters other than the transaction that is the subject of this Agreement, MSF will be permitted in the future, after Closing, to represent the Surviving Corporation and Purchaser or their Affiliates in all matters, including in connection with matters in which such Persons are adverse to the Sponsor or any of its Affiliates, including any disputes arising out of, or related to, this Agreement. The Purchaser, who is or has the right to be represented by independent counsel in connection with the transactions contemplated by this Agreement, hereby agrees, in advance, to waive (and to cause its Affiliates to waive) any actual or potential conflict of interest that may hereafter arise in connection with MSF’s future representation of one or more of Surviving Corporation and Purchaser or their Affiliates in which the interests of such Person are adverse to the interests of the Sponsor or any of its respective Affiliates, including any matters that arise out of this Agreement or that are substantially related to this Agreement. Nothing contained herein shall be deemed to be a waiver by the Purchaser or any of its Affiliates (including, after the Effective Time, the Surviving Corporation and its Affiliates) of any applicable privileges or protections that can or may be asserted to prevent disclosure of any pre-Closing communications to any third party.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 of this Agreement, the following capitalized terms have the following meanings: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means the American Arbitration Association or any successor entity conducting arbitrations.</w:t>
      </w:r>
    </w:p>
    <w:p>
      <w:pPr>
        <w:spacing w:after="0" w:line="131"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Principles</w:t>
      </w:r>
      <w:r>
        <w:rPr>
          <w:rFonts w:ascii="Times New Roman" w:cs="Times New Roman" w:eastAsia="Times New Roman" w:hAnsi="Times New Roman"/>
          <w:sz w:val="18"/>
          <w:szCs w:val="18"/>
          <w:color w:val="auto"/>
        </w:rPr>
        <w:t>” means in accordance with GAAP as in effect at the date of the financial statement to which it refers or if there is no such financial statement, then as of the Closing Date, using and applying the same accounting principles, practices, procedures, policies and methods (with consistent classifications, judgments, elections, inclusions, exclusions and valuation and estimation methodologies) used and applied by the Target Companies in the preparation of the latest audited Company Financials.</w:t>
      </w:r>
    </w:p>
    <w:p>
      <w:pPr>
        <w:spacing w:after="0" w:line="82" w:lineRule="exact"/>
        <w:rPr>
          <w:sz w:val="20"/>
          <w:szCs w:val="20"/>
          <w:color w:val="auto"/>
        </w:rPr>
      </w:pPr>
    </w:p>
    <w:p>
      <w:pPr>
        <w:ind w:right="6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Action</w:t>
      </w:r>
      <w:r>
        <w:rPr>
          <w:rFonts w:ascii="Times New Roman" w:cs="Times New Roman" w:eastAsia="Times New Roman" w:hAnsi="Times New Roman"/>
          <w:sz w:val="18"/>
          <w:szCs w:val="18"/>
          <w:color w:val="auto"/>
        </w:rPr>
        <w:t>” means any notice of noncompliance or violation, or any claim, demand, charge, action, suit, litigation, audit, settlement, complaint, stipulation, assessment or arbitration, or any request (including any request for information), inquiry, hearing, proceeding or investigation, by or before any Governmental Authority.</w:t>
      </w:r>
    </w:p>
    <w:p>
      <w:pPr>
        <w:spacing w:after="0" w:line="90" w:lineRule="exact"/>
        <w:rPr>
          <w:sz w:val="20"/>
          <w:szCs w:val="20"/>
          <w:color w:val="auto"/>
        </w:rPr>
      </w:pPr>
    </w:p>
    <w:p>
      <w:pPr>
        <w:ind w:right="16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Merger Consideration</w:t>
      </w:r>
      <w:r>
        <w:rPr>
          <w:rFonts w:ascii="Times New Roman" w:cs="Times New Roman" w:eastAsia="Times New Roman" w:hAnsi="Times New Roman"/>
          <w:sz w:val="18"/>
          <w:szCs w:val="18"/>
          <w:color w:val="auto"/>
        </w:rPr>
        <w:t>” means an amount equal to the sum of (i) the Merger Consideration, plus (ii) the aggregate amount of the exercise prices for all Company Stock under in-the-money Specified Company Warrants in accordance with their terms (and assuming no cashless exercise) that are issued and outstanding as of the Effective Time.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69" w:name="page270"/>
    <w:bookmarkEnd w:id="269"/>
    <w:p>
      <w:pPr>
        <w:ind w:right="54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For the avoidance of doubt, Sponsor shall be deemed to be an Affiliate of the Purchaser prior to the Closing</w:t>
      </w:r>
    </w:p>
    <w:p>
      <w:pPr>
        <w:spacing w:after="0" w:line="74" w:lineRule="exact"/>
        <w:rPr>
          <w:sz w:val="20"/>
          <w:szCs w:val="20"/>
          <w:color w:val="auto"/>
        </w:rPr>
      </w:pPr>
    </w:p>
    <w:p>
      <w:pPr>
        <w:ind w:right="6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Ancillary Documents</w:t>
      </w:r>
      <w:r>
        <w:rPr>
          <w:rFonts w:ascii="Times New Roman" w:cs="Times New Roman" w:eastAsia="Times New Roman" w:hAnsi="Times New Roman"/>
          <w:sz w:val="18"/>
          <w:szCs w:val="18"/>
          <w:color w:val="auto"/>
        </w:rPr>
        <w:t>” means each agreement, instrument or document attached hereto as an Exhibit, and the other agreements, certificates and instruments to be executed or delivered by any of the Parties hereto in connection with or pursuant to this Agreement.</w:t>
      </w:r>
    </w:p>
    <w:p>
      <w:pPr>
        <w:spacing w:after="0" w:line="8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Benefit Plans</w:t>
      </w:r>
      <w:r>
        <w:rPr>
          <w:rFonts w:ascii="Times New Roman" w:cs="Times New Roman" w:eastAsia="Times New Roman" w:hAnsi="Times New Roman"/>
          <w:sz w:val="18"/>
          <w:szCs w:val="18"/>
          <w:color w:val="auto"/>
        </w:rPr>
        <w:t>” of any Person means any and all deferred compensation, executive compensation, incentive compensation, equity purchase or other equity-based compensation plan, employment or consulting, severance or termination pay, holiday, vacation or other bonus plan or practice, hospitalization or other medical, life or other insurance, supplemental unemployment benefits, profit sharing, pension, or retirement plan, program, agreement, commitment or arrangement, and each other employee benefit plan, program, agreement or arrangement, including each “employee benefit plan” as such term is defined under Section 3(3) of ERISA, maintained or contributed to or required to be contributed to by a Person for the benefit of any employee or terminated employee, independent contractor, director, or officer of such Person, or with respect to which such Person has any Liability, whether direct or indirect, actual or contingent.</w:t>
      </w:r>
    </w:p>
    <w:p>
      <w:pPr>
        <w:spacing w:after="0" w:line="115" w:lineRule="exact"/>
        <w:rPr>
          <w:sz w:val="20"/>
          <w:szCs w:val="20"/>
          <w:color w:val="auto"/>
        </w:rPr>
      </w:pPr>
    </w:p>
    <w:p>
      <w:pPr>
        <w:ind w:right="80"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a legal holiday on which commercial banking institutions in New York, New York or Miami, Florida are authorized to close for business,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commercially banking institutions in New York, New York or Miami, Florida are generally open for use by customers on such day.</w:t>
      </w:r>
    </w:p>
    <w:p>
      <w:pPr>
        <w:spacing w:after="0" w:line="98" w:lineRule="exact"/>
        <w:rPr>
          <w:sz w:val="20"/>
          <w:szCs w:val="20"/>
          <w:color w:val="auto"/>
        </w:rPr>
      </w:pPr>
    </w:p>
    <w:p>
      <w:pPr>
        <w:ind w:right="6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Company Cash</w:t>
      </w:r>
      <w:r>
        <w:rPr>
          <w:rFonts w:ascii="Times New Roman" w:cs="Times New Roman" w:eastAsia="Times New Roman" w:hAnsi="Times New Roman"/>
          <w:sz w:val="18"/>
          <w:szCs w:val="18"/>
          <w:color w:val="auto"/>
        </w:rPr>
        <w:t>” means, as of the Reference Time, the aggregate cash and cash equivalents of the Target Companies on hand or in bank accounts, including deposits in transit, minus the aggregate amount of outstanding and unpaid checks issued by or on behalf of the Target Companies as of such time.</w:t>
      </w:r>
    </w:p>
    <w:p>
      <w:pPr>
        <w:spacing w:after="0" w:line="103"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Net Debt</w:t>
      </w:r>
      <w:r>
        <w:rPr>
          <w:rFonts w:ascii="Times New Roman" w:cs="Times New Roman" w:eastAsia="Times New Roman" w:hAnsi="Times New Roman"/>
          <w:sz w:val="18"/>
          <w:szCs w:val="18"/>
          <w:color w:val="auto"/>
        </w:rPr>
        <w:t>” means, as of the Reference Time, (i) the aggregate amount of all Indebtedness (excluding Permitted Debt), of the Target Companies, less (ii) the Closing Company Cash, in each case of clauses (i) and (ii), on a consolidated basis and as determined in accordance with the Accounting Principles. For the avoidance of doubt, Closing Net Debt can result in an increase to the Merger Consideration.</w:t>
      </w:r>
    </w:p>
    <w:p>
      <w:pPr>
        <w:spacing w:after="0" w:line="103" w:lineRule="exact"/>
        <w:rPr>
          <w:sz w:val="20"/>
          <w:szCs w:val="20"/>
          <w:color w:val="auto"/>
        </w:rPr>
      </w:pPr>
    </w:p>
    <w:p>
      <w:pPr>
        <w:ind w:right="28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any successor statute thereto, as amended. Reference to a specific section of the Code shall include such section and any valid treasury regulation promulgated thereunder.</w:t>
      </w:r>
    </w:p>
    <w:p>
      <w:pPr>
        <w:spacing w:after="0" w:line="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Charter</w:t>
      </w:r>
      <w:r>
        <w:rPr>
          <w:rFonts w:ascii="Times New Roman" w:cs="Times New Roman" w:eastAsia="Times New Roman" w:hAnsi="Times New Roman"/>
          <w:sz w:val="18"/>
          <w:szCs w:val="18"/>
          <w:color w:val="auto"/>
        </w:rPr>
        <w:t>” means the Certificate of Incorporation of the Company, as amended and effective under the DGCL, prior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common stock, par value $0.0001 per share, of the Company.</w:t>
      </w:r>
    </w:p>
    <w:p>
      <w:pPr>
        <w:spacing w:after="0" w:line="158"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Confidential Information</w:t>
      </w:r>
      <w:r>
        <w:rPr>
          <w:rFonts w:ascii="Times New Roman" w:cs="Times New Roman" w:eastAsia="Times New Roman" w:hAnsi="Times New Roman"/>
          <w:sz w:val="18"/>
          <w:szCs w:val="18"/>
          <w:color w:val="auto"/>
        </w:rPr>
        <w:t xml:space="preserve">” means all confidential or proprietary documents and information concerning the Target Companies or any of their respective Representatives, furnished in connection with this Agreement or the transactions contemplated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Company Confidential Information shall not include any information which, (i) at the time of disclosure by the Purchaser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is generally available publicly and was not disclosed in breach of this Agreement or (ii) at the time of the disclosure by the Company or its Representatives to the Purchaser or its Representatives was previously known by such receiving party without violation of Law or any confidentiality obligation by the Person receiving such Company Confidential Information.</w:t>
      </w:r>
    </w:p>
    <w:p>
      <w:pPr>
        <w:spacing w:after="0" w:line="101" w:lineRule="exact"/>
        <w:rPr>
          <w:sz w:val="20"/>
          <w:szCs w:val="20"/>
          <w:color w:val="auto"/>
        </w:rPr>
      </w:pPr>
    </w:p>
    <w:p>
      <w:pPr>
        <w:ind w:right="10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Convertible Securities</w:t>
      </w:r>
      <w:r>
        <w:rPr>
          <w:rFonts w:ascii="Times New Roman" w:cs="Times New Roman" w:eastAsia="Times New Roman" w:hAnsi="Times New Roman"/>
          <w:sz w:val="18"/>
          <w:szCs w:val="18"/>
          <w:color w:val="auto"/>
        </w:rPr>
        <w:t>” means, collectively, the Company Preferred Stock, the Company Warrants and any other options, warrants or rights to subscribe for or purchase any capital stock of the Company or securities convertible into or exchangeable for, or that otherwise confer on the holder any right to acquire any capital stock of the Company.</w:t>
      </w:r>
    </w:p>
    <w:p>
      <w:pPr>
        <w:spacing w:after="0" w:line="1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Preferred Stock</w:t>
      </w:r>
      <w:r>
        <w:rPr>
          <w:rFonts w:ascii="Times New Roman" w:cs="Times New Roman" w:eastAsia="Times New Roman" w:hAnsi="Times New Roman"/>
          <w:sz w:val="18"/>
          <w:szCs w:val="18"/>
          <w:color w:val="auto"/>
        </w:rPr>
        <w:t>” means the convertible preferred stock, par value $0.0001 per share,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70" w:name="page271"/>
    <w:bookmarkEnd w:id="27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Securities</w:t>
      </w:r>
      <w:r>
        <w:rPr>
          <w:rFonts w:ascii="Times New Roman" w:cs="Times New Roman" w:eastAsia="Times New Roman" w:hAnsi="Times New Roman"/>
          <w:sz w:val="18"/>
          <w:szCs w:val="18"/>
          <w:color w:val="auto"/>
        </w:rPr>
        <w:t>” means, collectively, the Company Stock and any other Company Convertible Securities.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Security Holders</w:t>
      </w:r>
      <w:r>
        <w:rPr>
          <w:rFonts w:ascii="Times New Roman" w:cs="Times New Roman" w:eastAsia="Times New Roman" w:hAnsi="Times New Roman"/>
          <w:sz w:val="18"/>
          <w:szCs w:val="18"/>
          <w:color w:val="auto"/>
        </w:rPr>
        <w:t>” means, collectively, the holders of Company Securities.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Stock</w:t>
      </w:r>
      <w:r>
        <w:rPr>
          <w:rFonts w:ascii="Times New Roman" w:cs="Times New Roman" w:eastAsia="Times New Roman" w:hAnsi="Times New Roman"/>
          <w:sz w:val="18"/>
          <w:szCs w:val="18"/>
          <w:color w:val="auto"/>
        </w:rPr>
        <w:t>” means any shares of the Company Common Stock and the Company Preferred Stock.</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Stockholders</w:t>
      </w:r>
      <w:r>
        <w:rPr>
          <w:rFonts w:ascii="Times New Roman" w:cs="Times New Roman" w:eastAsia="Times New Roman" w:hAnsi="Times New Roman"/>
          <w:sz w:val="18"/>
          <w:szCs w:val="18"/>
          <w:color w:val="auto"/>
        </w:rPr>
        <w:t>” means, collectively, the holders of Company Stock.</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Warrants</w:t>
      </w:r>
      <w:r>
        <w:rPr>
          <w:rFonts w:ascii="Times New Roman" w:cs="Times New Roman" w:eastAsia="Times New Roman" w:hAnsi="Times New Roman"/>
          <w:sz w:val="18"/>
          <w:szCs w:val="18"/>
          <w:color w:val="auto"/>
        </w:rPr>
        <w:t>” means the warrants to purchase Company Stock.</w:t>
      </w:r>
    </w:p>
    <w:p>
      <w:pPr>
        <w:spacing w:after="0" w:line="158" w:lineRule="exact"/>
        <w:rPr>
          <w:sz w:val="20"/>
          <w:szCs w:val="20"/>
          <w:color w:val="auto"/>
        </w:rPr>
      </w:pPr>
    </w:p>
    <w:p>
      <w:pPr>
        <w:ind w:right="1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w:t>
      </w:r>
      <w:r>
        <w:rPr>
          <w:rFonts w:ascii="Times New Roman" w:cs="Times New Roman" w:eastAsia="Times New Roman" w:hAnsi="Times New Roman"/>
          <w:sz w:val="18"/>
          <w:szCs w:val="18"/>
          <w:color w:val="auto"/>
        </w:rPr>
        <w:t>” means any consent, approval, waiver, authorization or Permit of, or notice to or declaration or filing with any Governmental Authority or any other Person.</w:t>
      </w:r>
    </w:p>
    <w:p>
      <w:pPr>
        <w:spacing w:after="0" w:line="87" w:lineRule="exact"/>
        <w:rPr>
          <w:sz w:val="20"/>
          <w:szCs w:val="20"/>
          <w:color w:val="auto"/>
        </w:rPr>
      </w:pPr>
    </w:p>
    <w:p>
      <w:pPr>
        <w:ind w:right="18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Contracts</w:t>
      </w:r>
      <w:r>
        <w:rPr>
          <w:rFonts w:ascii="Times New Roman" w:cs="Times New Roman" w:eastAsia="Times New Roman" w:hAnsi="Times New Roman"/>
          <w:sz w:val="18"/>
          <w:szCs w:val="18"/>
          <w:color w:val="auto"/>
        </w:rPr>
        <w:t>” means all contracts, agreements, binding arrangements, bonds, notes, indentures, mortgages, debt instruments, purchase order, licenses (and all other contracts, agreements or binding arrangements concerning Intellectual Property), franchises, leases and other instruments or obligations of any kind (including any amendments and other modifications thereto).</w:t>
      </w:r>
    </w:p>
    <w:p>
      <w:pPr>
        <w:spacing w:after="0" w:line="90"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rFonts w:ascii="Times New Roman" w:cs="Times New Roman" w:eastAsia="Times New Roman" w:hAnsi="Times New Roman"/>
          <w:sz w:val="18"/>
          <w:szCs w:val="18"/>
          <w:b w:val="1"/>
          <w:bCs w:val="1"/>
          <w:i w:val="1"/>
          <w:iCs w:val="1"/>
          <w:color w:val="auto"/>
        </w:rPr>
        <w:t>Controlled Person</w:t>
      </w:r>
      <w:r>
        <w:rPr>
          <w:rFonts w:ascii="Times New Roman" w:cs="Times New Roman" w:eastAsia="Times New Roman" w:hAnsi="Times New Roman"/>
          <w:sz w:val="18"/>
          <w:szCs w:val="18"/>
          <w:color w:val="auto"/>
        </w:rPr>
        <w:t>”) shall be deemed Controlled by (a) an officer, director, general partner, partner (other than a limited partner), manager, or member (other than a member having no management authority) of the Controlled Person; or (b) a spouse, parent, lineal descendant, sibling, aunt, uncle, niece, nephew, mother-in-law, father-in-law, sister-in-law, or brother-in-law of an Affiliate of the Controlled Person or a trust for the benefit of an Affiliate of the Controlled Person or of which an Affiliate of the Controlled Person is a trustee.</w:t>
      </w:r>
    </w:p>
    <w:p>
      <w:pPr>
        <w:spacing w:after="0" w:line="115" w:lineRule="exact"/>
        <w:rPr>
          <w:sz w:val="20"/>
          <w:szCs w:val="20"/>
          <w:color w:val="auto"/>
        </w:rPr>
      </w:pPr>
    </w:p>
    <w:p>
      <w:pPr>
        <w:ind w:right="24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Copyrights</w:t>
      </w:r>
      <w:r>
        <w:rPr>
          <w:rFonts w:ascii="Times New Roman" w:cs="Times New Roman" w:eastAsia="Times New Roman" w:hAnsi="Times New Roman"/>
          <w:sz w:val="18"/>
          <w:szCs w:val="18"/>
          <w:color w:val="auto"/>
        </w:rPr>
        <w:t>” means any works of authorship, mask works and all copyrights therein, including all renewals and extensions, copyright registrations and applications for registration and renewal, and non-registered copyrights.</w:t>
      </w:r>
    </w:p>
    <w:p>
      <w:pPr>
        <w:spacing w:after="0" w:line="87" w:lineRule="exact"/>
        <w:rPr>
          <w:sz w:val="20"/>
          <w:szCs w:val="20"/>
          <w:color w:val="auto"/>
        </w:rPr>
      </w:pPr>
    </w:p>
    <w:p>
      <w:pPr>
        <w:ind w:right="8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means SARS-CoV-2 or COVID-19, and any evolutions thereof or any other related or associated epidemics, pandemics or disease outbreaks.</w:t>
      </w:r>
    </w:p>
    <w:p>
      <w:pPr>
        <w:spacing w:after="0" w:line="74" w:lineRule="exact"/>
        <w:rPr>
          <w:sz w:val="20"/>
          <w:szCs w:val="20"/>
          <w:color w:val="auto"/>
        </w:rPr>
      </w:pPr>
    </w:p>
    <w:p>
      <w:pPr>
        <w:ind w:right="140"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COVID-19 Measures</w:t>
      </w:r>
      <w:r>
        <w:rPr>
          <w:rFonts w:ascii="Times New Roman" w:cs="Times New Roman" w:eastAsia="Times New Roman" w:hAnsi="Times New Roman"/>
          <w:sz w:val="18"/>
          <w:szCs w:val="18"/>
          <w:color w:val="auto"/>
        </w:rPr>
        <w:t>” means any quarantine, “shelter in place,” “stay at home,” workforce reduction, social distancing, shut down, closure, sequester or any other Law, directive, guidelines or recommendations by any Governmental Authority (including the Centers for Disease Control and the World Health Organization) in each case in connection with, related to or in response to COVID-19, including the Coronavirus Aid, Relief, and Economic Security Act (CARES) or any changes thereto.</w:t>
      </w:r>
    </w:p>
    <w:p>
      <w:pPr>
        <w:spacing w:after="0" w:line="109"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xml:space="preserve">” means any Law in any way relating to (a) the protection of human health and safety, (b) the protection, preservation or restoration of the environment and natural resources (including air, water vapor, surface water, groundwater, drinking water supply, surface land, subsurface land, plant and animal life or any other natural resource), or (c) the exposure to, or the use, storage, recycling, treatment, generation, transportation, processing, handling, labeling, production, release or disposal of Hazardous Materials, including the Comprehensive Environmental Response, Compensation and Liability Act, 42 U.S.C.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Resource Conservation and Recovery Act, 42 U.S.C. §§6901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Toxic Substances Control Act, 15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Federal Water Pollution Control Act, 33 U.S.C. §§1151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Air Act, 42 U.S.C. §§7401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Federal Insecticide, Fungicide and Rodenticide Act, 7 U.S.C. §§111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Occupational Safety and Health Act, 29 U.S.C. §§651 </w:t>
      </w:r>
      <w:r>
        <w:rPr>
          <w:rFonts w:ascii="Times New Roman" w:cs="Times New Roman" w:eastAsia="Times New Roman" w:hAnsi="Times New Roman"/>
          <w:sz w:val="18"/>
          <w:szCs w:val="18"/>
          <w:i w:val="1"/>
          <w:iCs w:val="1"/>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seq</w:t>
      </w:r>
      <w:r>
        <w:rPr>
          <w:rFonts w:ascii="Times New Roman" w:cs="Times New Roman" w:eastAsia="Times New Roman" w:hAnsi="Times New Roman"/>
          <w:sz w:val="18"/>
          <w:szCs w:val="18"/>
          <w:color w:val="auto"/>
        </w:rPr>
        <w:t>. (to the extent it relates to exposure to Hazardous Substances), the Asbestos Hazard Emergency Response Act, 15 U.S.C. §§2601</w:t>
      </w:r>
      <w:r>
        <w:rPr>
          <w:rFonts w:ascii="Times New Roman" w:cs="Times New Roman" w:eastAsia="Times New Roman" w:hAnsi="Times New Roman"/>
          <w:sz w:val="18"/>
          <w:szCs w:val="18"/>
          <w:i w:val="1"/>
          <w:iCs w:val="1"/>
          <w:color w:val="auto"/>
        </w:rPr>
        <w:t xml:space="preserve"> et seq</w:t>
      </w:r>
      <w:r>
        <w:rPr>
          <w:rFonts w:ascii="Times New Roman" w:cs="Times New Roman" w:eastAsia="Times New Roman" w:hAnsi="Times New Roman"/>
          <w:sz w:val="18"/>
          <w:szCs w:val="18"/>
          <w:color w:val="auto"/>
        </w:rPr>
        <w:t>., the Safe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Drinking Water Act, 42 U.S.C. §§300f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the Oil Pollution Act of 1990 and analogous state acts.</w:t>
      </w:r>
    </w:p>
    <w:p>
      <w:pPr>
        <w:spacing w:after="0" w:line="121"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Liabilities</w:t>
      </w:r>
      <w:r>
        <w:rPr>
          <w:rFonts w:ascii="Times New Roman" w:cs="Times New Roman" w:eastAsia="Times New Roman" w:hAnsi="Times New Roman"/>
          <w:sz w:val="18"/>
          <w:szCs w:val="18"/>
          <w:color w:val="auto"/>
        </w:rPr>
        <w:t>” means, in respect of any Person, all Liabilities, obligations, responsibilities, Remedial Actions, Losses, damages, costs, and expenses (including all reasonable fees, disbursements, and expenses of counsel, experts, and consultants and costs of investigation and feasibility studies), fines, penalties, sanctions, and interest incurred as a result of any claim or demand by any other Person or in response to any violation of Environmental Law, whether known or unknown, accrued or contingent, whether based in contract, tort, implied or express warranty, strict liability, criminal or civil statute, to the extent based upon, related to, or arising under or pursuant to any Environmental Law, Environmental Permit, Order, or Contract with any Governmental Authority or other Person, that relates to any environmental, health or safety condition, violation of Environmental Law, or a Release or threatened Release of Hazardous Materials.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17" w:right="379" w:bottom="1440" w:gutter="0" w:footer="0" w:header="0"/>
        </w:sectPr>
      </w:pPr>
    </w:p>
    <w:bookmarkStart w:id="271" w:name="page272"/>
    <w:bookmarkEnd w:id="27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U.S. Employee Retirement Income Security Act of 1974, as amended.</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 Claim</w:t>
      </w:r>
      <w:r>
        <w:rPr>
          <w:rFonts w:ascii="Times New Roman" w:cs="Times New Roman" w:eastAsia="Times New Roman" w:hAnsi="Times New Roman"/>
          <w:sz w:val="18"/>
          <w:szCs w:val="18"/>
          <w:color w:val="auto"/>
        </w:rPr>
        <w:t>” means any claim based in whole or in part upon fraud.</w:t>
      </w:r>
    </w:p>
    <w:p>
      <w:pPr>
        <w:spacing w:after="0" w:line="144" w:lineRule="exact"/>
        <w:rPr>
          <w:sz w:val="20"/>
          <w:szCs w:val="20"/>
          <w:color w:val="auto"/>
        </w:rPr>
      </w:pPr>
    </w:p>
    <w:p>
      <w:pPr>
        <w:ind w:right="20" w:firstLine="129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Fully-Diluted Company Shares</w:t>
      </w:r>
      <w:r>
        <w:rPr>
          <w:rFonts w:ascii="Times New Roman" w:cs="Times New Roman" w:eastAsia="Times New Roman" w:hAnsi="Times New Roman"/>
          <w:sz w:val="18"/>
          <w:szCs w:val="18"/>
          <w:color w:val="auto"/>
        </w:rPr>
        <w:t>” means the total number of issued and outstanding shares of Company Common Stock, (a) after giving effect to the Company Preferred Stock or otherwise treating shares of Company Preferred Stock on an as-converted to Company Common Stock basis, and</w:t>
      </w:r>
    </w:p>
    <w:p>
      <w:pPr>
        <w:spacing w:after="0" w:line="1" w:lineRule="exact"/>
        <w:rPr>
          <w:sz w:val="20"/>
          <w:szCs w:val="20"/>
          <w:color w:val="auto"/>
        </w:rPr>
      </w:pPr>
    </w:p>
    <w:p>
      <w:pPr>
        <w:ind w:right="280" w:firstLine="8"/>
        <w:spacing w:after="0" w:line="260" w:lineRule="auto"/>
        <w:tabs>
          <w:tab w:leader="none" w:pos="25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treating all outstanding in-the-money Specified Company Warrants as fully vested and as if the Specified Company Warrants had been exercised for cash as of the Effective Time, but for the avoidance of doubt excluding any Company Securities described in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generally accepted accounting principles as in effect in the United States of America.</w:t>
      </w:r>
    </w:p>
    <w:p>
      <w:pPr>
        <w:spacing w:after="0" w:line="158" w:lineRule="exact"/>
        <w:rPr>
          <w:sz w:val="20"/>
          <w:szCs w:val="20"/>
          <w:color w:val="auto"/>
        </w:rPr>
      </w:pPr>
    </w:p>
    <w:p>
      <w:pPr>
        <w:ind w:right="8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federal, state, local, foreign or other governmental, quasi-governmental or administrative body, instrumentality, department or agency or any court, tribunal, administrative hearing body, arbitration panel, commission, or other similar dispute-resolving panel or body.</w:t>
      </w:r>
    </w:p>
    <w:p>
      <w:pPr>
        <w:spacing w:after="0" w:line="90"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w:t>
      </w:r>
      <w:r>
        <w:rPr>
          <w:rFonts w:ascii="Times New Roman" w:cs="Times New Roman" w:eastAsia="Times New Roman" w:hAnsi="Times New Roman"/>
          <w:sz w:val="18"/>
          <w:szCs w:val="18"/>
          <w:color w:val="auto"/>
        </w:rPr>
        <w:t>” means any waste, gas, liquid or other substance or material that is defined, listed or designated as a “hazardous substance”, “pollutant”, “contaminant”, “hazardous waste”, “regulated substance”, “hazardous chemical”, or “toxic chemical” (or by any similar term) under any Environmental Law, or any other material regulated, or that could result in the imposition of Liability or responsibility, under any Environmental Law, including petroleum and its by-products, asbestos, polychlorinated biphenyls, radon, mold, and urea formaldehyde insulation.</w:t>
      </w:r>
    </w:p>
    <w:p>
      <w:pPr>
        <w:spacing w:after="0" w:line="109"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means the Health Insurance Portability and Accountability Act of 1996, as amended by the Health Information Technology for Economic and Clinical Health Act.</w:t>
      </w:r>
    </w:p>
    <w:p>
      <w:pPr>
        <w:spacing w:after="0" w:line="87"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of any Person means, without duplication, (a) all indebtedness of such Person for borrowed money (including the outstanding principal and accrued but unpaid interest), (b) all obligations for the deferred purchase price of property or services (other than trade payables incurred in the ordinary course of business), (c) any other indebtedness of such Person that is evidenced by a note, bond, debenture, credit agreement or similar instrument, (d) all obligations of such Person under leases that should be classified as capital leases in accordance with GAAP, (e) all obligations of such Person for the reimbursement of any obligor on any line or letter of credit, banker’s acceptance, guarantee or similar credit transaction, in each case, that has been drawn or claimed against, (f) all interest rate and currency swaps, caps, collars and similar agreements or hedging devices under which payments are obligated to be made by such Person, whether periodically or upon the happening of a contingency, (g) all obligations secured by an Lien (other than a Permitted Lien) on any property of such Person, (h) any premiums, prepayment fees or other penalties, fees, costs or expenses associated with payment of any Indebtedness described in clauses (a) through (g) above of such Person and (i) all obligation described in clauses (a) through (h) above of any other Person which is directly or indirectly guaranteed by such Person or which such Person has agreed (contingently or otherwise) to purchase or otherwise acquire or in respect of which it has otherwise assured a creditor against loss.</w:t>
      </w:r>
    </w:p>
    <w:p>
      <w:pPr>
        <w:spacing w:after="0" w:line="101" w:lineRule="exact"/>
        <w:rPr>
          <w:sz w:val="20"/>
          <w:szCs w:val="20"/>
          <w:color w:val="auto"/>
        </w:rPr>
      </w:pPr>
    </w:p>
    <w:p>
      <w:pPr>
        <w:ind w:right="44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means all of the following as they exist in any jurisdiction throughout the world: Patents, Trademarks, Copyrights, Trade Secrets, Internet Assets, Software and other intellectual property, and all licenses, sublicenses and other agreements or permissions related to the preceding property.</w:t>
      </w:r>
    </w:p>
    <w:p>
      <w:pPr>
        <w:spacing w:after="0" w:line="103"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Internet Assets</w:t>
      </w:r>
      <w:r>
        <w:rPr>
          <w:rFonts w:ascii="Times New Roman" w:cs="Times New Roman" w:eastAsia="Times New Roman" w:hAnsi="Times New Roman"/>
          <w:sz w:val="18"/>
          <w:szCs w:val="18"/>
          <w:color w:val="auto"/>
        </w:rPr>
        <w:t>” means any and all domain name registrations, web sites and web addresses and related rights, items and documentation related thereto, and applications for registration therefor.</w:t>
      </w:r>
    </w:p>
    <w:p>
      <w:pPr>
        <w:spacing w:after="0" w:line="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U.S. Internal Revenue Service (or any successor Governmental Authority).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17" w:right="379" w:bottom="1440" w:gutter="0" w:footer="0" w:header="0"/>
        </w:sectPr>
      </w:pPr>
    </w:p>
    <w:bookmarkStart w:id="272" w:name="page273"/>
    <w:bookmarkEnd w:id="272"/>
    <w:p>
      <w:pPr>
        <w:ind w:right="40"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means (i) with respect to the Company, the actual knowledge of David Mehalick, Christine Sheehy or Daniel Yerace after reasonable inquiry (provided, that with respect to Knowledge regarding the Company (but not any other Target Company) for periods prior to February 12, 2021, there is no inquiry requirement hereunder), or (ii) with respect to the Purchaser or Merger Sub, the actual knowledge of Robert Striar or Christopher Calise, after reasonable inquiry.</w:t>
      </w:r>
    </w:p>
    <w:p>
      <w:pPr>
        <w:spacing w:after="0" w:line="95" w:lineRule="exact"/>
        <w:rPr>
          <w:sz w:val="20"/>
          <w:szCs w:val="20"/>
          <w:color w:val="auto"/>
        </w:rPr>
      </w:pPr>
    </w:p>
    <w:p>
      <w:pPr>
        <w:ind w:right="200" w:firstLine="1296"/>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Law</w:t>
      </w:r>
      <w:r>
        <w:rPr>
          <w:rFonts w:ascii="Times New Roman" w:cs="Times New Roman" w:eastAsia="Times New Roman" w:hAnsi="Times New Roman"/>
          <w:sz w:val="17"/>
          <w:szCs w:val="17"/>
          <w:color w:val="auto"/>
        </w:rPr>
        <w:t>” means any federal, state, local, municipal, foreign or other law, statute, legislation, ordinance, code, edict, decree, proclamation, treaty, convention, rule, regulation, directive, requirement, writ, injunction, settlement, Order or Consent that is or has been issued, enacted, adopted, passed, approved, promulgated, made, implemented or otherwise put into effect by or under the authority of any Governmental Authority.</w:t>
      </w:r>
    </w:p>
    <w:p>
      <w:pPr>
        <w:spacing w:after="0" w:line="85" w:lineRule="exact"/>
        <w:rPr>
          <w:sz w:val="20"/>
          <w:szCs w:val="20"/>
          <w:color w:val="auto"/>
        </w:rPr>
      </w:pPr>
    </w:p>
    <w:p>
      <w:pPr>
        <w:ind w:right="220"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 means any and all liabilities, Indebtedness, Actions or obligations of any nature (whether absolute, accrued, contingent or otherwise, whether known or unknown, whether direct or indirect, whether matured or unmatured, whether due or to become due and whether or not required to be recorded or reflected on a balance sheet under GAAP or other applicable accounting standards), including Tax liabilities due or to become due.</w:t>
      </w:r>
    </w:p>
    <w:p>
      <w:pPr>
        <w:spacing w:after="0" w:line="109" w:lineRule="exact"/>
        <w:rPr>
          <w:sz w:val="20"/>
          <w:szCs w:val="20"/>
          <w:color w:val="auto"/>
        </w:rPr>
      </w:pPr>
    </w:p>
    <w:p>
      <w:pPr>
        <w:ind w:right="140"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any mortgage, pledge, security interest, attachment, right of first refusal, option, proxy, voting trust, encumbrance, lien or charge of any kind (including any conditional sale or other title retention agreement or lease in the nature thereof), restriction (whether on voting, sale, transfer, disposition or otherwise), any subordination arrangement in favor of another Person, or any filing or agreement to file a financing statement as debtor under the Uniform Commercial Code or any similar Law.</w:t>
      </w:r>
    </w:p>
    <w:p>
      <w:pPr>
        <w:spacing w:after="0" w:line="95" w:lineRule="exact"/>
        <w:rPr>
          <w:sz w:val="20"/>
          <w:szCs w:val="20"/>
          <w:color w:val="auto"/>
        </w:rPr>
      </w:pPr>
    </w:p>
    <w:p>
      <w:pPr>
        <w:ind w:right="2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means any and all losses, Actions, Orders, Liabilities, damages, Taxes, interest, penalties, Liens, amounts paid in settlement, costs and expenses (including reasonable expenses of investigation and court costs and reasonable attorneys’ fees and expenses).</w:t>
      </w:r>
    </w:p>
    <w:p>
      <w:pPr>
        <w:spacing w:after="0" w:line="87"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Adverse Effect</w:t>
      </w:r>
      <w:r>
        <w:rPr>
          <w:rFonts w:ascii="Times New Roman" w:cs="Times New Roman" w:eastAsia="Times New Roman" w:hAnsi="Times New Roman"/>
          <w:sz w:val="17"/>
          <w:szCs w:val="17"/>
          <w:color w:val="auto"/>
        </w:rPr>
        <w:t xml:space="preserve">” means, with respect to any specified Person, any fact, event, occurrence, change or effect that has had, or would reasonably be expected to have, individually or in the aggregate, a material adverse effect upon (a) the business, assets, Liabilities, results of operations or condition (financial or otherwise) of such Person and its Subsidiaries, taken as a whole (and for the avoidance of doubt, when the specified Person is the Purchaser, it is understood to mean the Purchaser and Merger Sub, taken as a whole) or (b) the ability of such Person or any of its Subsidiaries on a timely basis to consummate the transactions contemplated by this Agreement or the Ancillary Documents to which it is a party or bound or to perform its obligations hereunder or thereunder;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for purposes hereof, any facts, events, occurrences, changes or effects directly or indirectly attributable to, resulting from, relating to or arising out of the following (by themselves or when aggregated with any other, changes or effects) shall not be deemed to be, constitute, or be taken into account when determining whether there has or may, would or could have occurred a Material Adverse Effect: (i) general changes in the financial or securities markets (including changes in the credit, debt, securities and capital markets) or general economic or political conditions in the country or region in which such Person or any of its Subsidiaries do business; (ii) changes, conditions or effects that generally affect the industries in which such Person or any of its Subsidiaries principally operate; (iii) changes in applicable Laws (including COVID-19 Measures) or GAAP or other applicable accounting principles or mandatory changes in the regulatory accounting requirements applicable to any industry in which such Person and its Subsidiaries principally operate; (iv) conditions caused by acts of God, terrorism, war (whether or not declared), natural disaster or pandemic (including COVID-19) or the worsening thereof; (v) any failure in and of itself by such Person and its Subsidiaries to meet any internal or published budgets, projections, forecasts or predictions of financial performance for any period (provided that the underlying cause of any such failure may be considered in determining whether a Material Adverse Effect has occurred or would reasonably be expected to occur to the extent not excluded by another exception herein), (vi) the announcement or pendency of the transactions contemplated by this Agreement (including the Merger) (provided that this clause</w:t>
      </w:r>
    </w:p>
    <w:p>
      <w:pPr>
        <w:spacing w:after="0" w:line="11" w:lineRule="exact"/>
        <w:rPr>
          <w:sz w:val="20"/>
          <w:szCs w:val="20"/>
          <w:color w:val="auto"/>
        </w:rPr>
      </w:pPr>
    </w:p>
    <w:p>
      <w:pPr>
        <w:ind w:right="40" w:firstLine="8"/>
        <w:spacing w:after="0" w:line="251" w:lineRule="auto"/>
        <w:tabs>
          <w:tab w:leader="none" w:pos="30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apply to any representation or warranty to the extent such representation or warranty relates to the consequences resulting from the execution, announcement, performance or existence of this Agreement); and (vii), with respect to the Purchaser, the consummation and effects of any Redemption;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that any event, occurrence, fact, condition, or change referred to in clauses (i) - (iv) immediately above shall be taken into account in determining whether a Material Adverse Effect has occurred or would reasonably be expected to occur to the extent (and only to the extent) that such event, occurrence, fact, condition, or change has an adverse disproportionate effect on such Person or any of its Subsidiaries compared to other participants in the industries in which such Person or any of its Subsidiaries primarily conducts its businesses. Notwithstanding the foregoing, with respect to the Purchaser, the amount of any Redemption or the failure to obtain the Required Purchaser Stockholder Approval shall not be deemed to be a Material Adverse Effect on or with respect to the Purchaser.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273" w:name="page274"/>
    <w:bookmarkEnd w:id="27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 Common Stock</w:t>
      </w:r>
      <w:r>
        <w:rPr>
          <w:rFonts w:ascii="Times New Roman" w:cs="Times New Roman" w:eastAsia="Times New Roman" w:hAnsi="Times New Roman"/>
          <w:sz w:val="18"/>
          <w:szCs w:val="18"/>
          <w:color w:val="auto"/>
        </w:rPr>
        <w:t>” means the shares of common stock, par value $0.0001 per share, of Merger Sub.</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Capital Market.</w:t>
      </w:r>
    </w:p>
    <w:p>
      <w:pPr>
        <w:spacing w:after="0" w:line="158" w:lineRule="exact"/>
        <w:rPr>
          <w:sz w:val="20"/>
          <w:szCs w:val="20"/>
          <w:color w:val="auto"/>
        </w:rPr>
      </w:pPr>
    </w:p>
    <w:p>
      <w:pPr>
        <w:ind w:right="3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means any order, decree, ruling, judgment, injunction, writ, determination, binding decision, verdict, judicial award or other action that is or has been made, entered, rendered, or otherwise put into effect by or under the authority of any Governmental Authority.</w:t>
      </w:r>
    </w:p>
    <w:p>
      <w:pPr>
        <w:spacing w:after="0" w:line="87" w:lineRule="exact"/>
        <w:rPr>
          <w:sz w:val="20"/>
          <w:szCs w:val="20"/>
          <w:color w:val="auto"/>
        </w:rPr>
      </w:pPr>
    </w:p>
    <w:p>
      <w:pPr>
        <w:ind w:right="30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means, with respect to any Person that is an entity, its certificate of incorporation or formation, bylaws, operating agreement, memorandum and articles of association or similar organizational documents, in each case, as amended.</w:t>
      </w:r>
    </w:p>
    <w:p>
      <w:pPr>
        <w:spacing w:after="0" w:line="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OTC Pink</w:t>
      </w:r>
      <w:r>
        <w:rPr>
          <w:rFonts w:ascii="Times New Roman" w:cs="Times New Roman" w:eastAsia="Times New Roman" w:hAnsi="Times New Roman"/>
          <w:sz w:val="18"/>
          <w:szCs w:val="18"/>
          <w:color w:val="auto"/>
        </w:rPr>
        <w:t>” means the marketplace for trading over-the-counter securities operated by OTC Markets Group Inc. and designated as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OTC Pink.</w:t>
      </w:r>
    </w:p>
    <w:p>
      <w:pPr>
        <w:spacing w:after="0" w:line="135"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color w:val="auto"/>
        </w:rPr>
        <w:t>” means any patents, patent applications and the inventions, designs and improvements described and claimed therein, patentable inventions, and other patent rights (including any divisionals, provisionals, continuations, continuations-in-part, substitutions, or reissues thereof, whether or not patents are issued on any such applications and whether or not any such applications are amended, modified, withdrawn, or refiled).</w:t>
      </w:r>
    </w:p>
    <w:p>
      <w:pPr>
        <w:spacing w:after="0" w:line="1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means the U.S. Public Company Accounting Oversight Board (or any successor thereto).</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 Share Price</w:t>
      </w:r>
      <w:r>
        <w:rPr>
          <w:rFonts w:ascii="Times New Roman" w:cs="Times New Roman" w:eastAsia="Times New Roman" w:hAnsi="Times New Roman"/>
          <w:sz w:val="18"/>
          <w:szCs w:val="18"/>
          <w:color w:val="auto"/>
        </w:rPr>
        <w:t>” means an amount equal to (i) the Adjusted Merger Consideration, divided by (ii) the Fully-Diluted Company Shares.</w:t>
      </w:r>
    </w:p>
    <w:p>
      <w:pPr>
        <w:spacing w:after="0" w:line="158" w:lineRule="exact"/>
        <w:rPr>
          <w:sz w:val="20"/>
          <w:szCs w:val="20"/>
          <w:color w:val="auto"/>
        </w:rPr>
      </w:pPr>
    </w:p>
    <w:p>
      <w:pPr>
        <w:jc w:val="both"/>
        <w:ind w:right="28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means all federal, state, local or foreign or other third-party permits, grants, easements, consents, approvals, authorizations, exemptions, licenses, franchises, concessions, ratifications, permissions, clearances, confirmations, endorsements, waivers, certifications, designations, ratings, registrations, qualifications or orders of any Governmental Authority or any other Person.</w:t>
      </w:r>
    </w:p>
    <w:p>
      <w:pPr>
        <w:spacing w:after="0" w:line="1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Permitted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activities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w:t>
      </w:r>
    </w:p>
    <w:p>
      <w:pPr>
        <w:spacing w:after="0" w:line="144" w:lineRule="exact"/>
        <w:rPr>
          <w:sz w:val="20"/>
          <w:szCs w:val="20"/>
          <w:color w:val="auto"/>
        </w:rPr>
      </w:pPr>
    </w:p>
    <w:p>
      <w:pPr>
        <w:ind w:right="4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Permitted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indebtedness incurred by a Target Company in connection with one or more Permitted Activities and (b)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indebtedness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hereto.</w:t>
      </w:r>
    </w:p>
    <w:p>
      <w:pPr>
        <w:spacing w:after="0" w:line="8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Liens</w:t>
      </w:r>
      <w:r>
        <w:rPr>
          <w:rFonts w:ascii="Times New Roman" w:cs="Times New Roman" w:eastAsia="Times New Roman" w:hAnsi="Times New Roman"/>
          <w:sz w:val="18"/>
          <w:szCs w:val="18"/>
          <w:color w:val="auto"/>
        </w:rPr>
        <w:t>” means (a) Liens for Taxes or assessments and similar governmental charges or levies, which either are (i) not delinquent or (ii) being contested in good faith and by appropriate proceedings, and adequate reserves have been established with respect thereto, (b) other Liens imposed by operation of Law arising in the ordinary course of business for amounts which are not due and payable and as would not in the aggregate materially adversely affect the value of, or materially adversely interfere with the use of, the property subject thereto, (c) Liens incurred or deposits made in the ordinary course of business in connection with social security, (d) Liens on goods in transit incurred pursuant to documentary letters of credit, in each case arising in the ordinary course of business, (e) Liens incurred in connection with Permitted Debt or (f) Liens arising under this Agreement or any Ancillary Document.</w:t>
      </w:r>
    </w:p>
    <w:p>
      <w:pPr>
        <w:spacing w:after="0" w:line="115" w:lineRule="exact"/>
        <w:rPr>
          <w:sz w:val="20"/>
          <w:szCs w:val="20"/>
          <w:color w:val="auto"/>
        </w:rPr>
      </w:pPr>
    </w:p>
    <w:p>
      <w:pPr>
        <w:jc w:val="both"/>
        <w:ind w:right="78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90" w:lineRule="exact"/>
        <w:rPr>
          <w:sz w:val="20"/>
          <w:szCs w:val="20"/>
          <w:color w:val="auto"/>
        </w:rPr>
      </w:pPr>
    </w:p>
    <w:p>
      <w:pPr>
        <w:ind w:right="8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Property</w:t>
      </w:r>
      <w:r>
        <w:rPr>
          <w:rFonts w:ascii="Times New Roman" w:cs="Times New Roman" w:eastAsia="Times New Roman" w:hAnsi="Times New Roman"/>
          <w:sz w:val="18"/>
          <w:szCs w:val="18"/>
          <w:color w:val="auto"/>
        </w:rPr>
        <w:t>” means any machinery, equipment, tools, vehicles, furniture, leasehold improvements, office equipment, plant, parts and other tangible personal property.</w:t>
      </w:r>
    </w:p>
    <w:p>
      <w:pPr>
        <w:spacing w:after="0" w:line="87" w:lineRule="exact"/>
        <w:rPr>
          <w:sz w:val="20"/>
          <w:szCs w:val="20"/>
          <w:color w:val="auto"/>
        </w:rPr>
      </w:pPr>
    </w:p>
    <w:p>
      <w:pPr>
        <w:jc w:val="both"/>
        <w:ind w:right="36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 Share</w:t>
      </w:r>
      <w:r>
        <w:rPr>
          <w:rFonts w:ascii="Times New Roman" w:cs="Times New Roman" w:eastAsia="Times New Roman" w:hAnsi="Times New Roman"/>
          <w:sz w:val="18"/>
          <w:szCs w:val="18"/>
          <w:color w:val="auto"/>
        </w:rPr>
        <w:t>” means with respect to each Company Stockholder, a fraction expressed a percentage equal to (i) the portion of the Merger Consideration payable by the Purchaser to such Company Stockholder in accordance with the terms of this Agreement, divided by (ii) the total Merger Consideration payable by the Purchaser to all Company Stockholders in accordance with the terms of this Agreement.</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274" w:name="page275"/>
    <w:bookmarkEnd w:id="274"/>
    <w:p>
      <w:pPr>
        <w:ind w:right="4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Common Stock</w:t>
      </w:r>
      <w:r>
        <w:rPr>
          <w:rFonts w:ascii="Times New Roman" w:cs="Times New Roman" w:eastAsia="Times New Roman" w:hAnsi="Times New Roman"/>
          <w:sz w:val="18"/>
          <w:szCs w:val="18"/>
          <w:color w:val="auto"/>
        </w:rPr>
        <w:t>” means, prior to the Domestication, the Purchaser Ordinary Shares, and following the Domestication, shares of the common stock of the Purchaser, $0.0001 par value per share.</w:t>
      </w:r>
    </w:p>
    <w:p>
      <w:pPr>
        <w:spacing w:after="0" w:line="74"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Confidential Information</w:t>
      </w:r>
      <w:r>
        <w:rPr>
          <w:rFonts w:ascii="Times New Roman" w:cs="Times New Roman" w:eastAsia="Times New Roman" w:hAnsi="Times New Roman"/>
          <w:sz w:val="18"/>
          <w:szCs w:val="18"/>
          <w:color w:val="auto"/>
        </w:rPr>
        <w:t xml:space="preserve">” means all confidential or proprietary documents and information concerning the Purchaser or any of its Representatives;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Purchaser Confidential Information shall not include any information which, (i) at the time of disclosure by the Company or any of its Representatives, is generally available publicly and was not disclosed in breach of this Agreement or (ii) at the time of the disclosure by the Purchaser or its Representatives to the Company or any of its Representatives, was previously known by such receiving party without violation of Law or any confidentiality obligation by the Person receiving such Purchaser Confidential Information. For the avoidance of doubt, from and after the Closing, Purchaser Confidential Information will include the confidential or proprietary information of the Target Companies.</w:t>
      </w:r>
    </w:p>
    <w:p>
      <w:pPr>
        <w:spacing w:after="0" w:line="1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IPO</w:t>
      </w:r>
      <w:r>
        <w:rPr>
          <w:rFonts w:ascii="Times New Roman" w:cs="Times New Roman" w:eastAsia="Times New Roman" w:hAnsi="Times New Roman"/>
          <w:sz w:val="18"/>
          <w:szCs w:val="18"/>
          <w:color w:val="auto"/>
        </w:rPr>
        <w:t>” means the initial public offering of Purchaser Public Units pursuant to the Purchaser IPO Prospectus.</w:t>
      </w:r>
    </w:p>
    <w:p>
      <w:pPr>
        <w:spacing w:after="0" w:line="158" w:lineRule="exact"/>
        <w:rPr>
          <w:sz w:val="20"/>
          <w:szCs w:val="20"/>
          <w:color w:val="auto"/>
        </w:rPr>
      </w:pPr>
    </w:p>
    <w:p>
      <w:pPr>
        <w:ind w:right="54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IPO Prospectus</w:t>
      </w:r>
      <w:r>
        <w:rPr>
          <w:rFonts w:ascii="Times New Roman" w:cs="Times New Roman" w:eastAsia="Times New Roman" w:hAnsi="Times New Roman"/>
          <w:sz w:val="18"/>
          <w:szCs w:val="18"/>
          <w:color w:val="auto"/>
        </w:rPr>
        <w:t>” means the final prospectus of the Purchaser, dated as of October 29, 2020 and filed with the SEC on November 2, 2020 (File No. 333-248940).</w:t>
      </w:r>
    </w:p>
    <w:p>
      <w:pPr>
        <w:spacing w:after="0" w:line="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IPO Underwriters</w:t>
      </w:r>
      <w:r>
        <w:rPr>
          <w:rFonts w:ascii="Times New Roman" w:cs="Times New Roman" w:eastAsia="Times New Roman" w:hAnsi="Times New Roman"/>
          <w:sz w:val="18"/>
          <w:szCs w:val="18"/>
          <w:color w:val="auto"/>
        </w:rPr>
        <w:t>” means Imperial Capital, LLC, I-Bankers Securities, Inc. and Northland Securities, Inc.</w:t>
      </w:r>
    </w:p>
    <w:p>
      <w:pPr>
        <w:spacing w:after="0" w:line="158" w:lineRule="exact"/>
        <w:rPr>
          <w:sz w:val="20"/>
          <w:szCs w:val="20"/>
          <w:color w:val="auto"/>
        </w:rPr>
      </w:pPr>
    </w:p>
    <w:p>
      <w:pPr>
        <w:ind w:right="5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Public Units</w:t>
      </w:r>
      <w:r>
        <w:rPr>
          <w:rFonts w:ascii="Times New Roman" w:cs="Times New Roman" w:eastAsia="Times New Roman" w:hAnsi="Times New Roman"/>
          <w:sz w:val="18"/>
          <w:szCs w:val="18"/>
          <w:color w:val="auto"/>
        </w:rPr>
        <w:t>” means the units issued in the Purchaser IPO (including overallotment units acquired by the Purchaser’s underwriter) consisting of one (1) Purchaser Ordinary Share and one (1) Purchaser Public Warrant.</w:t>
      </w:r>
    </w:p>
    <w:p>
      <w:pPr>
        <w:spacing w:after="0" w:line="87" w:lineRule="exact"/>
        <w:rPr>
          <w:sz w:val="20"/>
          <w:szCs w:val="20"/>
          <w:color w:val="auto"/>
        </w:rPr>
      </w:pPr>
    </w:p>
    <w:p>
      <w:pPr>
        <w:ind w:right="1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Private Warrants</w:t>
      </w:r>
      <w:r>
        <w:rPr>
          <w:rFonts w:ascii="Times New Roman" w:cs="Times New Roman" w:eastAsia="Times New Roman" w:hAnsi="Times New Roman"/>
          <w:sz w:val="18"/>
          <w:szCs w:val="18"/>
          <w:color w:val="auto"/>
        </w:rPr>
        <w:t>” means the private placement warrants to purchase one (1) Purchaser Ordinary Share, as described in the Purchaser IPO Prospectus.</w:t>
      </w:r>
    </w:p>
    <w:p>
      <w:pPr>
        <w:spacing w:after="0" w:line="74" w:lineRule="exact"/>
        <w:rPr>
          <w:sz w:val="20"/>
          <w:szCs w:val="20"/>
          <w:color w:val="auto"/>
        </w:rPr>
      </w:pPr>
    </w:p>
    <w:p>
      <w:pPr>
        <w:ind w:right="300" w:firstLine="1296"/>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Purchaser Public Warrant</w:t>
      </w:r>
      <w:r>
        <w:rPr>
          <w:rFonts w:ascii="Times New Roman" w:cs="Times New Roman" w:eastAsia="Times New Roman" w:hAnsi="Times New Roman"/>
          <w:sz w:val="17"/>
          <w:szCs w:val="17"/>
          <w:color w:val="auto"/>
        </w:rPr>
        <w:t>” means one (1) whole redeemable private placement warrant that was included as part of each Purchaser Public Unit, entitling the holder thereof to purchase one-half (½) of one (1) Purchaser Ordinary Share at a purchase price of $11.50 per whole share.</w:t>
      </w:r>
    </w:p>
    <w:p>
      <w:pPr>
        <w:spacing w:after="0" w:line="64" w:lineRule="exact"/>
        <w:rPr>
          <w:sz w:val="20"/>
          <w:szCs w:val="20"/>
          <w:color w:val="auto"/>
        </w:rPr>
      </w:pPr>
    </w:p>
    <w:p>
      <w:pPr>
        <w:ind w:right="4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Securities</w:t>
      </w:r>
      <w:r>
        <w:rPr>
          <w:rFonts w:ascii="Times New Roman" w:cs="Times New Roman" w:eastAsia="Times New Roman" w:hAnsi="Times New Roman"/>
          <w:sz w:val="18"/>
          <w:szCs w:val="18"/>
          <w:color w:val="auto"/>
        </w:rPr>
        <w:t>” means the Purchaser Units, the Purchaser Common Stock, the Purchaser Preferred Stock and the Purchaser Warrants, collectively.</w:t>
      </w:r>
    </w:p>
    <w:p>
      <w:pPr>
        <w:spacing w:after="0" w:line="87" w:lineRule="exact"/>
        <w:rPr>
          <w:sz w:val="20"/>
          <w:szCs w:val="20"/>
          <w:color w:val="auto"/>
        </w:rPr>
      </w:pPr>
    </w:p>
    <w:p>
      <w:pPr>
        <w:ind w:right="30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Units</w:t>
      </w:r>
      <w:r>
        <w:rPr>
          <w:rFonts w:ascii="Times New Roman" w:cs="Times New Roman" w:eastAsia="Times New Roman" w:hAnsi="Times New Roman"/>
          <w:sz w:val="18"/>
          <w:szCs w:val="18"/>
          <w:color w:val="auto"/>
        </w:rPr>
        <w:t>” means the units issued in the Purchaser IPO or the overallotment thereof consisting of one (1) Purchaser Ordinary Share and one (1) Purchaser Warrant.</w:t>
      </w:r>
    </w:p>
    <w:p>
      <w:pPr>
        <w:spacing w:after="0" w:line="74" w:lineRule="exact"/>
        <w:rPr>
          <w:sz w:val="20"/>
          <w:szCs w:val="20"/>
          <w:color w:val="auto"/>
        </w:rPr>
      </w:pPr>
    </w:p>
    <w:p>
      <w:pPr>
        <w:ind w:right="34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Warrant Agreement</w:t>
      </w:r>
      <w:r>
        <w:rPr>
          <w:rFonts w:ascii="Times New Roman" w:cs="Times New Roman" w:eastAsia="Times New Roman" w:hAnsi="Times New Roman"/>
          <w:sz w:val="18"/>
          <w:szCs w:val="18"/>
          <w:color w:val="auto"/>
        </w:rPr>
        <w:t>” means the warrant agreement dated as of October 29, 2020 between the Purchaser and Continental Stock Transfer &amp; Trust Company.</w:t>
      </w:r>
    </w:p>
    <w:p>
      <w:pPr>
        <w:spacing w:after="0" w:line="87" w:lineRule="exact"/>
        <w:rPr>
          <w:sz w:val="20"/>
          <w:szCs w:val="20"/>
          <w:color w:val="auto"/>
        </w:rPr>
      </w:pPr>
    </w:p>
    <w:p>
      <w:pPr>
        <w:ind w:right="1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Warrants</w:t>
      </w:r>
      <w:r>
        <w:rPr>
          <w:rFonts w:ascii="Times New Roman" w:cs="Times New Roman" w:eastAsia="Times New Roman" w:hAnsi="Times New Roman"/>
          <w:sz w:val="18"/>
          <w:szCs w:val="18"/>
          <w:color w:val="auto"/>
        </w:rPr>
        <w:t>” means, collectively, the Purchaser Private Warrants and the Purchaser Public Warrants, in each case as described in the Purchaser IPO Prospectus and as contemplated by the Purchaser Warrant Agreement.</w:t>
      </w:r>
    </w:p>
    <w:p>
      <w:pPr>
        <w:spacing w:after="0" w:line="87" w:lineRule="exact"/>
        <w:rPr>
          <w:sz w:val="20"/>
          <w:szCs w:val="20"/>
          <w:color w:val="auto"/>
        </w:rPr>
      </w:pPr>
    </w:p>
    <w:p>
      <w:pPr>
        <w:ind w:right="20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means an amount equal to the price at which each Purchaser Ordinary Share is redeemed or converted pursuant to the Closing Redemption (as equitably adjusted for stock splits, stock dividends, combinations, recapitalizations and the like after the Closing).</w:t>
      </w:r>
    </w:p>
    <w:p>
      <w:pPr>
        <w:spacing w:after="0" w:line="74" w:lineRule="exact"/>
        <w:rPr>
          <w:sz w:val="20"/>
          <w:szCs w:val="20"/>
          <w:color w:val="auto"/>
        </w:rPr>
      </w:pPr>
    </w:p>
    <w:p>
      <w:pPr>
        <w:ind w:right="380" w:firstLine="138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Time</w:t>
      </w:r>
      <w:r>
        <w:rPr>
          <w:rFonts w:ascii="Times New Roman" w:cs="Times New Roman" w:eastAsia="Times New Roman" w:hAnsi="Times New Roman"/>
          <w:sz w:val="18"/>
          <w:szCs w:val="18"/>
          <w:color w:val="auto"/>
        </w:rPr>
        <w:t>” means the close of business of the Company on the Closing Date (but without giving effect to the transactions contemplated by this Agreement, including any payments by the Purchaser hereunder to occur at the Closing, but treating any obligations in respect of Indebtedness, Transaction Expenses or other liabilities that are contingent upon the consummation of the Closing as currently due and owing without contingency as of the Reference Time).</w:t>
      </w:r>
    </w:p>
    <w:p>
      <w:pPr>
        <w:spacing w:after="0" w:line="109" w:lineRule="exact"/>
        <w:rPr>
          <w:sz w:val="20"/>
          <w:szCs w:val="20"/>
          <w:color w:val="auto"/>
        </w:rPr>
      </w:pPr>
    </w:p>
    <w:p>
      <w:pPr>
        <w:ind w:right="3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means any release, spill, emission, leaking, pumping, injection, deposit, disposal, discharge, dispersal, or leaching into the indoor or outdoor environment, or into or out of any property.</w:t>
      </w:r>
    </w:p>
    <w:p>
      <w:pPr>
        <w:spacing w:after="0" w:line="87" w:lineRule="exact"/>
        <w:rPr>
          <w:sz w:val="20"/>
          <w:szCs w:val="20"/>
          <w:color w:val="auto"/>
        </w:rPr>
      </w:pPr>
    </w:p>
    <w:p>
      <w:pPr>
        <w:ind w:right="160"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Remedial Action</w:t>
      </w:r>
      <w:r>
        <w:rPr>
          <w:rFonts w:ascii="Times New Roman" w:cs="Times New Roman" w:eastAsia="Times New Roman" w:hAnsi="Times New Roman"/>
          <w:sz w:val="18"/>
          <w:szCs w:val="18"/>
          <w:color w:val="auto"/>
        </w:rPr>
        <w:t>” means all actions to (i) clean up, remove, treat, or in any other way address any Hazardous Material, (ii) prevent the Release of any Hazardous Material so it does not endanger or threaten to endanger public health or welfare or the indoor or outdoor environment, (iii) perform pre-remedial studies and investigations or post-remedial monitoring and care, or (iv) correct a condition of noncompliance with Environmental Laws.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275" w:name="page276"/>
    <w:bookmarkEnd w:id="275"/>
    <w:p>
      <w:pPr>
        <w:ind w:right="2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as to any Person, such Person’s Affiliates and the respective managers, directors, officers, employees, independent contractors, consultants, advisors (including financial advisors, counsel and accountants), agents and other legal representatives of such Person or its Affiliates.</w:t>
      </w:r>
    </w:p>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 (or any successor Governmental Authority).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8" w:lineRule="exact"/>
        <w:rPr>
          <w:sz w:val="20"/>
          <w:szCs w:val="20"/>
          <w:color w:val="auto"/>
        </w:rPr>
      </w:pPr>
    </w:p>
    <w:p>
      <w:pPr>
        <w:ind w:right="8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Significant Company Holder</w:t>
      </w:r>
      <w:r>
        <w:rPr>
          <w:rFonts w:ascii="Times New Roman" w:cs="Times New Roman" w:eastAsia="Times New Roman" w:hAnsi="Times New Roman"/>
          <w:sz w:val="18"/>
          <w:szCs w:val="18"/>
          <w:color w:val="auto"/>
        </w:rPr>
        <w:t>” means any Company Stockholder who (i) is an executive officer or director of the Company or (ii) owns more than five percent (5%) of the issued and outstanding shares of the Company (treating any Company Preferred Stock and Company Convertible Securities on an as-converted to Company Common Stock basis).</w:t>
      </w:r>
    </w:p>
    <w:p>
      <w:pPr>
        <w:spacing w:after="0" w:line="90" w:lineRule="exact"/>
        <w:rPr>
          <w:sz w:val="20"/>
          <w:szCs w:val="20"/>
          <w:color w:val="auto"/>
        </w:rPr>
      </w:pPr>
    </w:p>
    <w:p>
      <w:pPr>
        <w:ind w:right="3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Software</w:t>
      </w:r>
      <w:r>
        <w:rPr>
          <w:rFonts w:ascii="Times New Roman" w:cs="Times New Roman" w:eastAsia="Times New Roman" w:hAnsi="Times New Roman"/>
          <w:sz w:val="18"/>
          <w:szCs w:val="18"/>
          <w:color w:val="auto"/>
        </w:rPr>
        <w:t>” means any computer software programs, including all source code, object code, and documentation related thereto and all software modules, tools and databases.</w:t>
      </w:r>
    </w:p>
    <w:p>
      <w:pPr>
        <w:spacing w:after="0" w:line="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SOX</w:t>
      </w:r>
      <w:r>
        <w:rPr>
          <w:rFonts w:ascii="Times New Roman" w:cs="Times New Roman" w:eastAsia="Times New Roman" w:hAnsi="Times New Roman"/>
          <w:sz w:val="18"/>
          <w:szCs w:val="18"/>
          <w:color w:val="auto"/>
        </w:rPr>
        <w:t>” means the U.S. Sarbanes-Oxley Act of 2002, as amended.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Company Warrants</w:t>
      </w:r>
      <w:r>
        <w:rPr>
          <w:rFonts w:ascii="Times New Roman" w:cs="Times New Roman" w:eastAsia="Times New Roman" w:hAnsi="Times New Roman"/>
          <w:sz w:val="18"/>
          <w:szCs w:val="18"/>
          <w:color w:val="auto"/>
        </w:rPr>
        <w:t xml:space="preserve">” means those warrants set forth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hereto.</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Bull Horn Holdings Sponsor LLC.</w:t>
      </w:r>
    </w:p>
    <w:p>
      <w:pPr>
        <w:spacing w:after="0" w:line="158"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will be deemed to have a majority ownership interest in a partnership, association or other business entity if such Person or Persons will be allocated a majority of partnership, association or other business entity gains or losses or will be or control the managing director, managing member, general partner or other managing Person of such partnership, association or other business entity. A Subsidiary of a Person will also include any variable interest entity which is consolidated with such Person under applicable accounting rules.</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Company</w:t>
      </w:r>
      <w:r>
        <w:rPr>
          <w:rFonts w:ascii="Times New Roman" w:cs="Times New Roman" w:eastAsia="Times New Roman" w:hAnsi="Times New Roman"/>
          <w:sz w:val="18"/>
          <w:szCs w:val="18"/>
          <w:color w:val="auto"/>
        </w:rPr>
        <w:t>” means each of the Company and its direct and indirect Subsidiaries.</w:t>
      </w:r>
    </w:p>
    <w:p>
      <w:pPr>
        <w:spacing w:after="0" w:line="144"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declaration, report, claim for refund, information return or other documents (including any related or supporting schedules, statements or information) filed or required to be filed in connection with the determination, assessment or collection of any Taxes or the administration of any Laws or administrative requirements relating to any Taxes.</w:t>
      </w:r>
    </w:p>
    <w:p>
      <w:pPr>
        <w:spacing w:after="0" w:line="103"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 all direct or indirect federal, state, local, foreign and other net income, gross income, gross receipts, sales, use, value-added, ad valorem, transfer, franchise, profits, license, lease, service, service use, withholding, payroll, employment, unemployment, social security and related contributions due in relation to the payment of compensation to employees, excise, severance, stamp, occupation, premium, property, windfall profits, alternative minimum, estimated, customs, duties or other taxes, fees, assessments or charges of any kind whatsoever, together with any interest and any penalties, additions to tax or additional amounts with respect thereto, (b) any Liability for payment of amounts described in clause (a) whether as a result of being a member of an affiliated, consolidated, combined or unitary group for any period or otherwise through operation of law and (c) any Liability for the payment of amounts described in clauses (a) or (b) as a result of any tax sharing, tax group, tax indemnity or tax allocation agreement with, or any other express or implied agreement to indemnify, any other Person.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76" w:name="page277"/>
    <w:bookmarkEnd w:id="276"/>
    <w:p>
      <w:pPr>
        <w:ind w:right="80"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 Secrets</w:t>
      </w:r>
      <w:r>
        <w:rPr>
          <w:rFonts w:ascii="Times New Roman" w:cs="Times New Roman" w:eastAsia="Times New Roman" w:hAnsi="Times New Roman"/>
          <w:sz w:val="18"/>
          <w:szCs w:val="18"/>
          <w:color w:val="auto"/>
        </w:rPr>
        <w:t>” means any trade secrets, confidential business information, concepts, ideas, designs, research or development information, processes, procedures, techniques, technical information, specifications, operating and maintenance manuals, engineering drawings, methods, know-how, data, mask works, discoveries, inventions, modifications, extensions, improvements, and other proprietary rights (whether or not patentable or subject to copyright, trademark, or trade secret protection).</w:t>
      </w:r>
    </w:p>
    <w:p>
      <w:pPr>
        <w:spacing w:after="0" w:line="95" w:lineRule="exact"/>
        <w:rPr>
          <w:sz w:val="20"/>
          <w:szCs w:val="20"/>
          <w:color w:val="auto"/>
        </w:rPr>
      </w:pPr>
    </w:p>
    <w:p>
      <w:pPr>
        <w:jc w:val="both"/>
        <w:ind w:right="20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Trademarks</w:t>
      </w:r>
      <w:r>
        <w:rPr>
          <w:rFonts w:ascii="Times New Roman" w:cs="Times New Roman" w:eastAsia="Times New Roman" w:hAnsi="Times New Roman"/>
          <w:sz w:val="18"/>
          <w:szCs w:val="18"/>
          <w:color w:val="auto"/>
        </w:rPr>
        <w:t>” means any trademarks, service marks, trade dress, trade names, brand names, internet domain names, designs, logos, or corporate names (including, in each case, the goodwill associated therewith), whether registered or unregistered, and all registrations and applications for registration and renewal thereof.</w:t>
      </w:r>
    </w:p>
    <w:p>
      <w:pPr>
        <w:spacing w:after="0" w:line="103"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Expenses</w:t>
      </w:r>
      <w:r>
        <w:rPr>
          <w:rFonts w:ascii="Times New Roman" w:cs="Times New Roman" w:eastAsia="Times New Roman" w:hAnsi="Times New Roman"/>
          <w:sz w:val="18"/>
          <w:szCs w:val="18"/>
          <w:color w:val="auto"/>
        </w:rPr>
        <w:t xml:space="preserve">” means all fees and expenses of any of the Target Companies incurred or payable as of the Closing and not paid prior to the Closing (i) in connection with the consummation of the transactions contemplated hereby, including any amounts payable to professionals (including investment bankers, brokers, finders, attorneys, accountants and other consultants and advisors) retained by any Target Company, (ii) any change in control bonus, transaction bonus, retention bonus, termination or severance payment or payment relating to terminated options, warrants or other equity appreciation, phantom equity, profit participation or similar rights, in any case, to be made to any current or former employee, independent contractor, director or officer of any Target Company at or after the Closing pursuant to any agreement to which any Target Company is a party prior to the Closing which become payable (including if subject to continued employment) as a result of the execution of this Agreement or the consummation of the transactions contemplated hereby, (iii) the Company’s portion of any Antitrust Expenses, if any,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that have not been paid prior to the Closing, and (iv) any sales, use, real property transfer, stamp, stock transfer or other similar transfer Taxes imposed on the Purchaser, Merger Sub or any Target Company in connection with the Merger or the other transactions contemplated by this Agreement.</w:t>
      </w:r>
    </w:p>
    <w:p>
      <w:pPr>
        <w:spacing w:after="0" w:line="118" w:lineRule="exact"/>
        <w:rPr>
          <w:sz w:val="20"/>
          <w:szCs w:val="20"/>
          <w:color w:val="auto"/>
        </w:rPr>
      </w:pPr>
    </w:p>
    <w:p>
      <w:pPr>
        <w:ind w:right="30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means the trust account established by the Purchaser with the proceeds from the Purchaser IPO pursuant to the Trust Agreement in accordance with the Purchaser IPO Prospectus.</w:t>
      </w:r>
    </w:p>
    <w:p>
      <w:pPr>
        <w:spacing w:after="0" w:line="74"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means that certain Investment Management Trust Agreement, dated as of October 29, 2020, as it may be amended, by and between the Purchaser and the Trustee, as well as any other agreements entered into related to or governing the Trust Account.</w:t>
      </w:r>
    </w:p>
    <w:p>
      <w:pPr>
        <w:spacing w:after="0" w:line="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Continental Stock Transfer &amp; Trust Company, in its capacity as trustee under the Trust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WARN Act</w:t>
      </w:r>
      <w:r>
        <w:rPr>
          <w:rFonts w:ascii="Times New Roman" w:cs="Times New Roman" w:eastAsia="Times New Roman" w:hAnsi="Times New Roman"/>
          <w:sz w:val="18"/>
          <w:szCs w:val="18"/>
          <w:color w:val="auto"/>
        </w:rPr>
        <w:t>” means the Worker Adjustment and Retraining Notification Act of 1988, as amended, or any similar federal, state, local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Laws.</w:t>
      </w:r>
    </w:p>
    <w:p>
      <w:pPr>
        <w:spacing w:after="0" w:line="12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Section References</w:t>
      </w:r>
      <w:r>
        <w:rPr>
          <w:rFonts w:ascii="Times New Roman" w:cs="Times New Roman" w:eastAsia="Times New Roman" w:hAnsi="Times New Roman"/>
          <w:sz w:val="18"/>
          <w:szCs w:val="18"/>
          <w:color w:val="auto"/>
        </w:rPr>
        <w:t>. The following capitalized terms, as used in this Agreement, have the respective meanings given to them in the Section as set forth below adjacent to such terms: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1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47"/>
        </w:trPr>
        <w:tc>
          <w:tcPr>
            <w:tcW w:w="39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3"/>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AAA Procedures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Proposal</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5.6(a)</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Closing Date</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Closing Filing</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5.14(b)</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Alternative Transaction</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5.6(a)</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Closing Press Release</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5.14(b)</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Antitrust Expenses</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7.3</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Closing Redemption</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5.12</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5.9(b)</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Closing Statement</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1.10</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Warrant</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1.11(d)(ii)</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Combination</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 Benefit Plan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4.19(a)</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 D&amp;O Tail Insurance</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5.17(c)</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Schedules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MSF</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9.16</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Financials</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4.7(b)</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6.3(d)(vii)</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IP</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4.13(d)</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OFAC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3.19(c)</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IP Licenses</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4.13(a)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Off-the-Shelf Software</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4.13(a)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4.12(a)</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Outbound IP License</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4.13(c)</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43"/>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4.10</w:t>
            </w:r>
          </w:p>
        </w:tc>
        <w:tc>
          <w:tcPr>
            <w:tcW w:w="4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Outside Date</w:t>
            </w: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7.1(b)</w:t>
            </w:r>
          </w:p>
        </w:tc>
      </w:tr>
      <w:tr>
        <w:trPr>
          <w:trHeight w:val="41"/>
        </w:trPr>
        <w:tc>
          <w:tcPr>
            <w:tcW w:w="39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12"/>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1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46"/>
        </w:trPr>
        <w:tc>
          <w:tcPr>
            <w:tcW w:w="39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3"/>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Personal Property Leases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Party(ies)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Preferred Stock Exchange</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Post-Closing Purchaser Board</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5.16(a)</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Public Certifications</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Proxy Statement</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5.12</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 Leases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Public Stockholders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r>
      <w:tr>
        <w:trPr>
          <w:trHeight w:val="41"/>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Recommendation</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Registered IP</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4.13(a)</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Class A Preferred Shares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SEC Reports</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Class B Preferred Shares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Special Meeting</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5.13</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Class C Preferred Shares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41"/>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Ratio</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1.9</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Class D Preferred Shares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D&amp;O Indemnified Persons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5.17(a)</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Class E Preferred Shares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41"/>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DCGL</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D&amp;O Tail Insurance</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5.17(b)</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5.16(a)</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Disclosure Schedules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Dispute</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9.6</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Financials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3.6(b)</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Material Contract</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r>
      <w:tr>
        <w:trPr>
          <w:trHeight w:val="41"/>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Dissenting Stockholder</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1.15</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Ordinary Shares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Preferred Shares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EGS</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Public Certifications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Recommendation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Permits</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4.20(a)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SEC Reports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ERISA Affiliate</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4.19(e)</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Special Meeting</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1.12(a)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Stockholder Approval Matters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5.12</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Redemption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3.5(c)</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5.3(a)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Registration Statement</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5.12</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Expenses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5.3(a)(iv)</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Related Person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Redemption</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3.5(c)</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Released Claims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Securities Laws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Required Company Stockholder Approval</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6.1(b)</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5.19</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Required Purchaser Stockholder Approval</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Purchaser Certificate of Incorporation</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1.7(b)</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Resolution Period</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5.12</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 SPAC Accounting Changes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Balance Sheet Date</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4.7(b)</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Signing Filing</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5.14(b)</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Period</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Signing Press Release</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5.14(b)</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Purchaser Certificate of Incorporation</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1.7(a)</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Specified Courts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1.12(a)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Surviving Corporation</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Lock-Up Agreement</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6.3(d)(vi)</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Top Suppliers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Transmittal Documents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1.12(b)</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Voting Agreements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43"/>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Sub</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12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40"/>
        </w:trPr>
        <w:tc>
          <w:tcPr>
            <w:tcW w:w="39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278" w:name="page279"/>
    <w:bookmarkEnd w:id="278"/>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each Party hereto has caused this Agreement and Plan of Merger to be signed and delivered as of the date first written above.</w:t>
      </w:r>
    </w:p>
    <w:p>
      <w:pPr>
        <w:spacing w:after="0" w:line="11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u w:val="single" w:color="auto"/>
          <w:color w:val="auto"/>
        </w:rPr>
        <w:t>The Purchaser:</w:t>
      </w:r>
    </w:p>
    <w:p>
      <w:pPr>
        <w:spacing w:after="0" w:line="2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202"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 Christopher Calise</w:t>
            </w:r>
          </w:p>
        </w:tc>
        <w:tc>
          <w:tcPr>
            <w:tcW w:w="0" w:type="dxa"/>
            <w:vAlign w:val="bottom"/>
          </w:tcPr>
          <w:p>
            <w:pPr>
              <w:spacing w:after="0"/>
              <w:rPr>
                <w:sz w:val="1"/>
                <w:szCs w:val="1"/>
                <w:color w:val="auto"/>
              </w:rPr>
            </w:pPr>
          </w:p>
        </w:tc>
      </w:tr>
      <w:tr>
        <w:trPr>
          <w:trHeight w:val="41"/>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80" w:type="dxa"/>
            <w:vAlign w:val="bottom"/>
            <w:vMerge w:val="continue"/>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Calise</w:t>
            </w:r>
          </w:p>
        </w:tc>
        <w:tc>
          <w:tcPr>
            <w:tcW w:w="0" w:type="dxa"/>
            <w:vAlign w:val="bottom"/>
          </w:tcPr>
          <w:p>
            <w:pPr>
              <w:spacing w:after="0"/>
              <w:rPr>
                <w:sz w:val="1"/>
                <w:szCs w:val="1"/>
                <w:color w:val="auto"/>
              </w:rPr>
            </w:pPr>
          </w:p>
        </w:tc>
      </w:tr>
      <w:tr>
        <w:trPr>
          <w:trHeight w:val="25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u w:val="single" w:color="auto"/>
          <w:color w:val="auto"/>
        </w:rPr>
        <w:t>Merger Sub</w:t>
      </w:r>
      <w:r>
        <w:rPr>
          <w:rFonts w:ascii="Times New Roman" w:cs="Times New Roman" w:eastAsia="Times New Roman" w:hAnsi="Times New Roman"/>
          <w:sz w:val="18"/>
          <w:szCs w:val="18"/>
          <w:u w:val="single" w:color="auto"/>
          <w:color w:val="auto"/>
        </w:rPr>
        <w:t>:</w:t>
      </w:r>
    </w:p>
    <w:p>
      <w:pPr>
        <w:spacing w:after="0" w:line="19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BH MERGER SUB, INC.</w:t>
      </w:r>
    </w:p>
    <w:p>
      <w:pPr>
        <w:spacing w:after="0" w:line="202"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 Christopher Calise</w:t>
            </w:r>
          </w:p>
        </w:tc>
        <w:tc>
          <w:tcPr>
            <w:tcW w:w="0" w:type="dxa"/>
            <w:vAlign w:val="bottom"/>
          </w:tcPr>
          <w:p>
            <w:pPr>
              <w:spacing w:after="0"/>
              <w:rPr>
                <w:sz w:val="1"/>
                <w:szCs w:val="1"/>
                <w:color w:val="auto"/>
              </w:rPr>
            </w:pPr>
          </w:p>
        </w:tc>
      </w:tr>
      <w:tr>
        <w:trPr>
          <w:trHeight w:val="41"/>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80" w:type="dxa"/>
            <w:vAlign w:val="bottom"/>
            <w:vMerge w:val="continue"/>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Calise</w:t>
            </w:r>
          </w:p>
        </w:tc>
        <w:tc>
          <w:tcPr>
            <w:tcW w:w="0" w:type="dxa"/>
            <w:vAlign w:val="bottom"/>
          </w:tcPr>
          <w:p>
            <w:pPr>
              <w:spacing w:after="0"/>
              <w:rPr>
                <w:sz w:val="1"/>
                <w:szCs w:val="1"/>
                <w:color w:val="auto"/>
              </w:rPr>
            </w:pPr>
          </w:p>
        </w:tc>
      </w:tr>
      <w:tr>
        <w:trPr>
          <w:trHeight w:val="25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u w:val="single" w:color="auto"/>
          <w:color w:val="auto"/>
        </w:rPr>
        <w:t>The Company:</w:t>
      </w:r>
    </w:p>
    <w:p>
      <w:pPr>
        <w:spacing w:after="0" w:line="19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202" w:lineRule="exact"/>
        <w:rPr>
          <w:sz w:val="20"/>
          <w:szCs w:val="20"/>
          <w:color w:val="auto"/>
        </w:rPr>
      </w:pPr>
    </w:p>
    <w:p>
      <w:pPr>
        <w:ind w:left="5700"/>
        <w:spacing w:after="0"/>
        <w:tabs>
          <w:tab w:leader="none" w:pos="6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Mehalick</w:t>
      </w:r>
    </w:p>
    <w:p>
      <w:pPr>
        <w:spacing w:after="0" w:line="50" w:lineRule="exact"/>
        <w:rPr>
          <w:sz w:val="20"/>
          <w:szCs w:val="20"/>
          <w:color w:val="auto"/>
        </w:rPr>
      </w:pPr>
    </w:p>
    <w:p>
      <w:pPr>
        <w:ind w:left="5700"/>
        <w:spacing w:after="0"/>
        <w:tabs>
          <w:tab w:leader="none" w:pos="64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David Mehalick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-119380</wp:posOffset>
            </wp:positionV>
            <wp:extent cx="30175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7" w:lineRule="exact"/>
        <w:rPr>
          <w:sz w:val="20"/>
          <w:szCs w:val="20"/>
          <w:color w:val="auto"/>
        </w:rPr>
      </w:pPr>
    </w:p>
    <w:p>
      <w:pPr>
        <w:ind w:left="570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President/CEO</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Merger Agreement]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79" w:name="page280"/>
    <w:bookmarkEnd w:id="27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VOTING AND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2252345</wp:posOffset>
            </wp:positionH>
            <wp:positionV relativeFrom="paragraph">
              <wp:posOffset>-19050</wp:posOffset>
            </wp:positionV>
            <wp:extent cx="263715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37155" cy="8890"/>
                    </a:xfrm>
                    <a:prstGeom prst="rect">
                      <a:avLst/>
                    </a:prstGeom>
                    <a:noFill/>
                  </pic:spPr>
                </pic:pic>
              </a:graphicData>
            </a:graphic>
          </wp:anchor>
        </w:drawing>
      </w:r>
    </w:p>
    <w:p>
      <w:pPr>
        <w:spacing w:after="0" w:line="102"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made as of April 18, 2022, by and among (i) </w:t>
      </w:r>
      <w:r>
        <w:rPr>
          <w:rFonts w:ascii="Times New Roman" w:cs="Times New Roman" w:eastAsia="Times New Roman" w:hAnsi="Times New Roman"/>
          <w:sz w:val="18"/>
          <w:szCs w:val="18"/>
          <w:b w:val="1"/>
          <w:bCs w:val="1"/>
          <w:color w:val="auto"/>
        </w:rPr>
        <w:t>Bull Horn Holdings Corp.</w:t>
      </w:r>
      <w:r>
        <w:rPr>
          <w:rFonts w:ascii="Times New Roman" w:cs="Times New Roman" w:eastAsia="Times New Roman" w:hAnsi="Times New Roman"/>
          <w:sz w:val="18"/>
          <w:szCs w:val="18"/>
          <w:color w:val="auto"/>
        </w:rPr>
        <w:t>, a British Virgin Islands business company (together with its successors, including after giving effect to the Domestication (as defined in the Merger Agreement (as defined below)),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b w:val="1"/>
          <w:bCs w:val="1"/>
          <w:color w:val="auto"/>
        </w:rPr>
        <w:t>Coeptis Therapeutics,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(iii) the undersigned holder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of capital stock and/or securities convertible into capital stock of the Company. Any capitalized term used but not defined in this Agreement will have the meaning ascribed to such term in the Merger Agreement.</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or about the date hereof, the Purchaser, the Company, and BH Merger Sub, Inc., a Delaware corporation and a wholly-owned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Purchaser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entered into that certain Agreement and Plan of Merger (as amended from time to time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thereof,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pursuant to which, among other matters, upon the consummation of the transactions contemplated thereby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Merger Sub will merge with and into the Company, with the Company continuing as the surviving entity and a wholly-owned subsidiary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and as a result of which, all of the issued and outstanding capital stock of the Company as of immediately prior to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shall no longer be outstanding and shall automatically be cancelled and shall cease to exist, in exchange for the right to receive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as set forth in the Merger Agreement, all upon the terms and subject to the conditions set forth in the Merger Agreement and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applicable provisions of the DGCL;</w:t>
      </w:r>
    </w:p>
    <w:p>
      <w:pPr>
        <w:spacing w:after="0" w:line="135"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a condition to the consummation of the Merger that, on or prior to the Closing Date, the holders of Company Preferred Stock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exchange or convert all of their issued and outstanding shares of Company Preferred Stock for shares of Company Common Stock at the applicable conversion ratio (including any accrued or declared but unpaid dividends) in accordance with the terms of the Merger Agreement (the “</w:t>
      </w:r>
      <w:r>
        <w:rPr>
          <w:rFonts w:ascii="Times New Roman" w:cs="Times New Roman" w:eastAsia="Times New Roman" w:hAnsi="Times New Roman"/>
          <w:sz w:val="18"/>
          <w:szCs w:val="18"/>
          <w:b w:val="1"/>
          <w:bCs w:val="1"/>
          <w:i w:val="1"/>
          <w:iCs w:val="1"/>
          <w:color w:val="auto"/>
        </w:rPr>
        <w:t>Company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 Exchange</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right="160"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has (a) approved and declared advisable the Merger Agreement, the Ancillary Documents,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and the other transactions contemplated by any such documents (collectively,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(b) determined that the Transactions are fair to and in the best interests of the Company and its stockholders (the “</w:t>
      </w:r>
      <w:r>
        <w:rPr>
          <w:rFonts w:ascii="Times New Roman" w:cs="Times New Roman" w:eastAsia="Times New Roman" w:hAnsi="Times New Roman"/>
          <w:sz w:val="18"/>
          <w:szCs w:val="18"/>
          <w:b w:val="1"/>
          <w:bCs w:val="1"/>
          <w:i w:val="1"/>
          <w:iCs w:val="1"/>
          <w:color w:val="auto"/>
        </w:rPr>
        <w:t>Company Stockholders</w:t>
      </w:r>
      <w:r>
        <w:rPr>
          <w:rFonts w:ascii="Times New Roman" w:cs="Times New Roman" w:eastAsia="Times New Roman" w:hAnsi="Times New Roman"/>
          <w:sz w:val="18"/>
          <w:szCs w:val="18"/>
          <w:color w:val="auto"/>
        </w:rPr>
        <w:t>”) and (c) recommended the approval and the adoption by each of the Company Stockholders of the Merger Agreement, the Ancillary Documents, the Merger, the Company Preferred Stock Exchange and the other Transactions; and</w:t>
      </w:r>
    </w:p>
    <w:p>
      <w:pPr>
        <w:spacing w:after="0" w:line="112"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to the willingness of the Purchaser to enter into the Merger Agreement, and as an inducement and in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therefor, and in view of the valuable consideration to be received by Holder thereunder, and the expenses and efforts to be undertaken by the Purchaser and the Company to consummate the Transactions, the Purchaser, the Company and Holder desire to enter into this Agreement in order for Holder to provide certain assurances to the Purchaser regarding the manner in which Holder is bound hereunder to vote any shares of capital stock of the Company which Holder beneficially owns, acquires, holds or otherwise has voting power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during the period from and including the date hereof through and including the date on which this Agreement is terminated in accordance with its terms (the “</w:t>
      </w:r>
      <w:r>
        <w:rPr>
          <w:rFonts w:ascii="Times New Roman" w:cs="Times New Roman" w:eastAsia="Times New Roman" w:hAnsi="Times New Roman"/>
          <w:sz w:val="18"/>
          <w:szCs w:val="18"/>
          <w:b w:val="1"/>
          <w:bCs w:val="1"/>
          <w:i w:val="1"/>
          <w:iCs w:val="1"/>
          <w:color w:val="auto"/>
        </w:rPr>
        <w:t>Voting Period</w:t>
      </w:r>
      <w:r>
        <w:rPr>
          <w:rFonts w:ascii="Times New Roman" w:cs="Times New Roman" w:eastAsia="Times New Roman" w:hAnsi="Times New Roman"/>
          <w:sz w:val="18"/>
          <w:szCs w:val="18"/>
          <w:color w:val="auto"/>
        </w:rPr>
        <w:t>”) with respect to the Merger Agreement, the Company Preferred Stock Exchange, the Merger, the Ancillary Documents and the Transactions.</w:t>
      </w:r>
    </w:p>
    <w:p>
      <w:pPr>
        <w:spacing w:after="0" w:line="115" w:lineRule="exact"/>
        <w:rPr>
          <w:sz w:val="20"/>
          <w:szCs w:val="20"/>
          <w:color w:val="auto"/>
        </w:rPr>
      </w:pPr>
    </w:p>
    <w:p>
      <w:pPr>
        <w:ind w:right="3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set forth above, which are incorporated in this Agreement as if fully set forth below,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intending to be legally bound hereby, the parties hereby agree as follows:</w:t>
      </w:r>
    </w:p>
    <w:p>
      <w:pPr>
        <w:spacing w:after="0" w:line="74" w:lineRule="exact"/>
        <w:rPr>
          <w:sz w:val="20"/>
          <w:szCs w:val="20"/>
          <w:color w:val="auto"/>
        </w:rPr>
      </w:pPr>
    </w:p>
    <w:p>
      <w:pPr>
        <w:ind w:right="100" w:firstLine="440"/>
        <w:spacing w:after="0" w:line="286" w:lineRule="auto"/>
        <w:tabs>
          <w:tab w:leader="none" w:pos="61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Covenant to Vote in Favor of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agrees, with respect to all of the Shares (and, in the case of Section 1(b) and Section 1(f),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Securities (as defined below)):</w:t>
      </w:r>
    </w:p>
    <w:p>
      <w:pPr>
        <w:spacing w:after="0" w:line="91" w:lineRule="exact"/>
        <w:rPr>
          <w:rFonts w:ascii="Times New Roman" w:cs="Times New Roman" w:eastAsia="Times New Roman" w:hAnsi="Times New Roman"/>
          <w:sz w:val="18"/>
          <w:szCs w:val="18"/>
          <w:color w:val="auto"/>
        </w:rPr>
      </w:pPr>
    </w:p>
    <w:p>
      <w:pPr>
        <w:ind w:firstLine="872"/>
        <w:spacing w:after="0" w:line="253" w:lineRule="auto"/>
        <w:tabs>
          <w:tab w:leader="none" w:pos="1109"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Voting Period, at each meeting of the Company Stockholders or any class or series thereof, and in each written consent or resolutions of any of the Company Stockholders in which Holder is entitled to vote or consent, Holder hereby unconditionally and irrevocably agrees to be present for such meeting and vote (in person or by proxy), or consent to any action by written consent or resolution with respect to, as applicable, the Shares (i) in favor of, and adopt, the Merger, the Company Preferred Stock Exchange, the Merger Agreement, the Ancillary Documents, any amendments to the Company’s Organizational Documents, and all of the other Transactions (and any actions required in furtherance thereof), (ii) in favor of the other matters set forth in the Merger Agreement, and (iii) to vote the Shares in opposition to: (A) any Acquisition Proposal and any and all other proposals (x) for the acquisition of the Company, (y) that could reasonably be expected to delay or impair the ability of the Company to consummate the Merger, the Company Preferred Stock Exchange, the Merger Agreement or any of the Transactions, or (z) which are in competition with or materially inconsistent with the Merger Agreement or the Ancillary Documents; (B) other than as contemplated by the Merger Agreement, any material change in (x) the present capitalization of the Company or any amendment of the Company’s Organizational Documents or (y) the Company’s corporate structure or business; or (C) any other action or proposal involving any Target Company that is intended, or would reasonably be expected, to prevent, impede, interfere with, delay, postpone or adversely affect in any material respect the Transactions or would reasonably be expected to result in any of the conditions to the Closing under the Merger Agreement not being fulfilled;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80" w:name="page281"/>
    <w:bookmarkEnd w:id="280"/>
    <w:p>
      <w:pPr>
        <w:ind w:left="-40" w:firstLine="872"/>
        <w:spacing w:after="0" w:line="253" w:lineRule="auto"/>
        <w:tabs>
          <w:tab w:leader="none" w:pos="107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execute and deliver all related documentation and take such other action in support of the Merger, the Company Preferred Stock Exchange, the Merger Agreement, any Ancillary Documents and any of the Transactions, as shall reasonably be requested by the Company or the Purchaser in order to carry out the terms and provision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including (i) execution and delivery to the Company of a Letter of Transmittal and the Transmittal Documents, (ii) if applicable, delivery of Holder’s Company stock certificates, duly endorsed for transfer, to the Company or the Exchange Agent, as applicable, and any similar or related documents and such other documents as may be reasonably requested by the Company, the Purchaser or the Exchange Agent, as applicable, (iii) if applicable, delivery of instrument(s) contemplating the conversion or exchange of any other Company Convertible Securities of Holder, as applicable, for shares of Company Common Stock (or other similar documentation reasonably requested by the Purchaser, the Company or the Exchange Agent), (iv) any actions by written consent of the Company Stockholders presented to Holder, and (v) any applicable Ancillary Documents (including, if applicable, a Lock-Up Agreement and a Non-Competition Agreement), customary instruments of conveyance and transfer, and any consent, waiver, governmental filing, and any similar or related documents;</w:t>
      </w:r>
    </w:p>
    <w:p>
      <w:pPr>
        <w:spacing w:after="0" w:line="113" w:lineRule="exact"/>
        <w:rPr>
          <w:rFonts w:ascii="Times New Roman" w:cs="Times New Roman" w:eastAsia="Times New Roman" w:hAnsi="Times New Roman"/>
          <w:sz w:val="18"/>
          <w:szCs w:val="18"/>
          <w:color w:val="auto"/>
        </w:rPr>
      </w:pPr>
    </w:p>
    <w:p>
      <w:pPr>
        <w:ind w:left="-40" w:right="20" w:firstLine="872"/>
        <w:spacing w:after="0" w:line="261" w:lineRule="auto"/>
        <w:tabs>
          <w:tab w:leader="none" w:pos="106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transfers expressly permitted by, and effected in accordance with,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not to deposit, and to cause their Affiliates not to deposit, except as provided in this Agreement, any Shares owned by Holder or his/her/its Affiliates in a voting trust or subject any Shares to any arrangement or agreement with respect to the voting of such Shares, unless specifically requested to do so by the Company and the Purchaser in connection with the Merger Agreement, the Ancillary Documents and any of the Transactions;</w:t>
      </w:r>
    </w:p>
    <w:p>
      <w:pPr>
        <w:spacing w:after="0" w:line="85" w:lineRule="exact"/>
        <w:rPr>
          <w:rFonts w:ascii="Times New Roman" w:cs="Times New Roman" w:eastAsia="Times New Roman" w:hAnsi="Times New Roman"/>
          <w:sz w:val="18"/>
          <w:szCs w:val="18"/>
          <w:color w:val="auto"/>
        </w:rPr>
      </w:pPr>
    </w:p>
    <w:p>
      <w:pPr>
        <w:ind w:left="-40" w:right="80" w:firstLine="872"/>
        <w:spacing w:after="0" w:line="256" w:lineRule="auto"/>
        <w:tabs>
          <w:tab w:leader="none" w:pos="107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contemplated by the Merger Agreement or the Ancillary Documents, make, or in any manner participate in, directly or indirectly, a “solicitation” of “proxies” or consents (as such terms are used in the rules of the SEC) or powers of attorney or similar rights to vote, or seek to advise or influence any Person with respect to the voting of, any shares of the Company capital stock in connection with any vote or other action with respect to the Transactions, other than to recommend that stockholders of the Company vote in favor of adoption of the Merger Agreement and the Transactions and any other proposal the approval of which is a condition to the obligations of the parties under the Merger Agreement (and any actions required in furtherance thereof and otherwise as expressly provided by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w:t>
      </w:r>
    </w:p>
    <w:p>
      <w:pPr>
        <w:spacing w:after="0" w:line="92" w:lineRule="exact"/>
        <w:rPr>
          <w:rFonts w:ascii="Times New Roman" w:cs="Times New Roman" w:eastAsia="Times New Roman" w:hAnsi="Times New Roman"/>
          <w:sz w:val="18"/>
          <w:szCs w:val="18"/>
          <w:color w:val="auto"/>
        </w:rPr>
      </w:pPr>
    </w:p>
    <w:p>
      <w:pPr>
        <w:ind w:left="-40" w:right="460" w:firstLine="872"/>
        <w:spacing w:after="0" w:line="282" w:lineRule="auto"/>
        <w:tabs>
          <w:tab w:leader="none" w:pos="106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refrain from exercising any dissenters’ rights or rights of appraisal under applicable Law at any time with respect to the Merger, the Merger Agreement, the Ancillary Documents and any of the Transactions, including pursuant to the DGCL; and</w:t>
      </w:r>
    </w:p>
    <w:p>
      <w:pPr>
        <w:spacing w:after="0" w:line="80" w:lineRule="exact"/>
        <w:rPr>
          <w:rFonts w:ascii="Times New Roman" w:cs="Times New Roman" w:eastAsia="Times New Roman" w:hAnsi="Times New Roman"/>
          <w:sz w:val="18"/>
          <w:szCs w:val="18"/>
          <w:color w:val="auto"/>
        </w:rPr>
      </w:pPr>
    </w:p>
    <w:p>
      <w:pPr>
        <w:ind w:left="-40" w:right="220" w:firstLine="872"/>
        <w:spacing w:after="0" w:line="261" w:lineRule="auto"/>
        <w:tabs>
          <w:tab w:leader="none" w:pos="104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u w:val="single" w:color="auto"/>
          <w:color w:val="auto"/>
        </w:rPr>
        <w:t>Sections 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above, to: (i) approve and consent to and with respect to any Company Preferred Stock held by Holder, participate in the Company Preferred Stock Exchange and convert all shares of Company Preferred Stock held by Holder for shares of Company Common Stock at the applicable conversion ratio (including any accrued or declared but unpaid dividends) as set forth in the Company Charter in accordance with the terms of the Merger Agreement.</w:t>
      </w:r>
    </w:p>
    <w:p>
      <w:pPr>
        <w:spacing w:after="0" w:line="81" w:lineRule="exact"/>
        <w:rPr>
          <w:rFonts w:ascii="Times New Roman" w:cs="Times New Roman" w:eastAsia="Times New Roman" w:hAnsi="Times New Roman"/>
          <w:sz w:val="18"/>
          <w:szCs w:val="18"/>
          <w:color w:val="auto"/>
        </w:rPr>
      </w:pPr>
    </w:p>
    <w:p>
      <w:pPr>
        <w:ind w:left="-40" w:right="80" w:firstLine="440"/>
        <w:spacing w:after="0" w:line="255" w:lineRule="auto"/>
        <w:tabs>
          <w:tab w:leader="none" w:pos="57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Voting Period, Holder, with respect to all of the Shares, hereby irrevocably grants to, and appoints, the Purchaser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designee of the Purchaser (determined in the Purchaser’s sole discretion) as Holder’s attorney-in-fact and proxy, with full power of substitution and resubstitution, for and in Holder’s name, to vote, or cause to be voted (including by proxy or written consent, if applicable) any Shares owned (whether beneficially or of record) by Holder, solely on the matters and in the manner specified in Section 1 above. The proxy granted by Holder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is irrevocable and is granted in consideration of the Purchaser entering into this Agreement and the Merger Agreement and incurring certain related fees and expenses. Holder hereby affirms that such irrevocable proxy is coupled with an interest by reason of the Merger Agreement and, except upon the termination of this Agreement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is intended to be irrevocable. Holder agrees, until this Agreement is terminated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to vote its Shares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594" w:right="359" w:bottom="1440" w:gutter="0" w:footer="0" w:header="0"/>
        </w:sectPr>
      </w:pPr>
    </w:p>
    <w:bookmarkStart w:id="281" w:name="page282"/>
    <w:bookmarkEnd w:id="281"/>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b w:val="1"/>
          <w:bCs w:val="1"/>
          <w:u w:val="single" w:color="auto"/>
          <w:color w:val="auto"/>
        </w:rPr>
        <w:t>Other Covenants</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right="120" w:firstLine="864"/>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 Transfers</w:t>
      </w:r>
      <w:r>
        <w:rPr>
          <w:rFonts w:ascii="Times New Roman" w:cs="Times New Roman" w:eastAsia="Times New Roman" w:hAnsi="Times New Roman"/>
          <w:sz w:val="18"/>
          <w:szCs w:val="18"/>
          <w:color w:val="auto"/>
        </w:rPr>
        <w:t>. Holder agrees that during the Voting Period it shall not, and shall cause its Affiliates not to, without the Purchaser’s prior written consent, (A) offer for sale, sell (including short sales), transfer, tender, pledge, encumber, assign or otherwise dispose of (including by gift) (collectively,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or enter into any contract, option, derivative, hedging or other agreement or arrangement or understanding (including any profit-sharing arrangement) with respect to, or consent to, a Transfer of, any or all of the Securities (as defined below); (B) grant any proxies or powers of attorney with respect to any or all of the Securities; (C) permit to exist any lien of any nature whatsoever (other than those imposed by this Agreement, applicable securities Laws or the Company’s Organizational Documents, as in effect on the date hereof) with respect to any or all of the Securities; or (D) take any action that would have the effect of preventing, impeding, interfering with or adversely affecting Holder’s ability to perform its obligations under this Agreement. The Company hereby agrees that it shall not permit any Transfer of the Securities in violation of this Agreement. Holder agrees with, and covenants to, the Purchaser that Holder shall not request that the Company register the Transfer (book-entry or otherwise) of any certificate or uncertificated interest representing any Security during the term of this Agreement without the prior written consent of the Purchaser, and the Company hereby agrees that it shall not effect any such Transfer. [Notwithstanding anything to the contrary contained in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the Purchaser and the Company hereby agree that during the Voting Period, Holder may Transfer up to an aggregate of three hundred thousand (300,000) shares of Company Common Stock in open market transactions without the consent of the Purchaser or the Company or the requirement that any of the transferees thereof become party to or bound by the terms of this Agreement.]</w:t>
      </w:r>
      <w:r>
        <w:rPr>
          <w:rFonts w:ascii="Times New Roman" w:cs="Times New Roman" w:eastAsia="Times New Roman" w:hAnsi="Times New Roman"/>
          <w:sz w:val="21"/>
          <w:szCs w:val="21"/>
          <w:color w:val="auto"/>
          <w:vertAlign w:val="superscript"/>
        </w:rPr>
        <w:t>1</w:t>
      </w:r>
    </w:p>
    <w:p>
      <w:pPr>
        <w:spacing w:after="0" w:line="83" w:lineRule="exact"/>
        <w:rPr>
          <w:sz w:val="20"/>
          <w:szCs w:val="20"/>
          <w:color w:val="auto"/>
        </w:rPr>
      </w:pPr>
    </w:p>
    <w:p>
      <w:pPr>
        <w:ind w:right="20" w:firstLine="864"/>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shall not prohibit a Transfer of Shares by Holder (i) to any family member or trust for the benefit of any family member, (ii) to any stockholder, member or partner of Holder, if an entity, (iii) to any Affiliate of Holder, or (iv) to any person or entity if and to the extent required by any non-consensual Order, by divorce decree or by will, intestacy or other similar applicable Law, so long as, in the case of the foregoing clauses (i), (ii), (iii) and (iv), the assignee or transferee agrees to be bound by the terms of this Agreement and executes and delivers to the parties hereto a written consent and joinder memorializing such agreement. During the term of this Agreement, the Company will not register or otherwise recognize the transfer (book-entry or otherwise) of any Shares or any certificate or uncertificated interest representing any of Holder’s Shares, except as permitted by, and in accordance with,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Changes to Securities</w:t>
      </w:r>
      <w:r>
        <w:rPr>
          <w:rFonts w:ascii="Times New Roman" w:cs="Times New Roman" w:eastAsia="Times New Roman" w:hAnsi="Times New Roman"/>
          <w:sz w:val="18"/>
          <w:szCs w:val="18"/>
          <w:color w:val="auto"/>
        </w:rPr>
        <w:t>. In the event of a stock dividend or distribution, or any change in the shares of capital stock of the Company by reason of any stock dividend or distribution, stock split, recapitalization, combination, conversion, exchange of shares or the like, the term “Securities” shall be deemed to refer to and include the Securities as well as all such stock dividends and distributions and any securities into which or for which any or all of the Securities may be changed or exchanged or which are received in such transaction. Holder agrees during the Voting Period to notify the Purchaser and the Company promptly in writing of the number and type of any changes to Holder’s ownership of or voting control with respect to Securities, upon Holder’s acquisition or commitment to acquire any additional Securities or upon any other changes involving Holder relating to capital stock or securities convertible or exercisable for capital stock of the Company.</w:t>
      </w:r>
    </w:p>
    <w:p>
      <w:pPr>
        <w:spacing w:after="0" w:line="108" w:lineRule="exact"/>
        <w:rPr>
          <w:sz w:val="20"/>
          <w:szCs w:val="20"/>
          <w:color w:val="auto"/>
        </w:rPr>
      </w:pPr>
    </w:p>
    <w:p>
      <w:pPr>
        <w:ind w:right="140" w:firstLine="864"/>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Compliance with Merger Agreement</w:t>
      </w:r>
      <w:r>
        <w:rPr>
          <w:rFonts w:ascii="Times New Roman" w:cs="Times New Roman" w:eastAsia="Times New Roman" w:hAnsi="Times New Roman"/>
          <w:sz w:val="18"/>
          <w:szCs w:val="18"/>
          <w:color w:val="auto"/>
        </w:rPr>
        <w:t>. Holder agrees to not during the Voting Period take or agree or commit to take any action that knowingly would make any representation and warranty of Holder contained in this Agreement inaccurate in any material respect. Holder further agrees that it shall use its commercially reasonable efforts to cooperate with the Purchaser to effect the Merger, the Company Preferred Stock Exchange, all other Transactions, the Merger Agreement, the Ancillary Documents and the provisions of this Agreement.</w:t>
      </w:r>
    </w:p>
    <w:p>
      <w:pPr>
        <w:spacing w:after="0" w:line="112" w:lineRule="exact"/>
        <w:rPr>
          <w:sz w:val="20"/>
          <w:szCs w:val="20"/>
          <w:color w:val="auto"/>
        </w:rPr>
      </w:pPr>
    </w:p>
    <w:p>
      <w:pPr>
        <w:ind w:right="720" w:firstLine="864"/>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During the Voting Period, Holder agrees to provide to the Purchaser, the Company and their respective Representatives any information regarding Holder or the Securities that is reasonably requested by the Purchaser, the Company or their respective Representatives for inclusion in the Registration Statement.</w:t>
      </w:r>
    </w:p>
    <w:p>
      <w:pPr>
        <w:spacing w:after="0" w:line="108" w:lineRule="exact"/>
        <w:rPr>
          <w:sz w:val="20"/>
          <w:szCs w:val="20"/>
          <w:color w:val="auto"/>
        </w:rPr>
      </w:pPr>
    </w:p>
    <w:p>
      <w:pPr>
        <w:ind w:right="160" w:firstLine="864"/>
        <w:spacing w:after="0" w:line="254"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Holder shall not issue any press release or otherwise make any public statements with respect to the Transactions or the transactions contemplated herein without the prior written approval of the Company and the Purchaser. Holder hereby authorizes the Company and the Purchaser to publish and disclose in any announcement or disclosure required by the SEC, Nasdaq or the Registration Statement (including all documents and schedules filed with the SEC in connection with the foregoing), Holder’s identity and ownership of the Securities and the nature of Holder’s commitments and agreements under this Agreement, the Merger Agreement and any other Ancillary Documents.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Only for Lisa Pharma LLC and Lena Pharma LLC.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82" w:name="page283"/>
    <w:bookmarkEnd w:id="282"/>
    <w:p>
      <w:pPr>
        <w:ind w:left="580" w:hanging="180"/>
        <w:spacing w:after="0"/>
        <w:tabs>
          <w:tab w:leader="none" w:pos="5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of Holder</w:t>
      </w:r>
      <w:r>
        <w:rPr>
          <w:rFonts w:ascii="Times New Roman" w:cs="Times New Roman" w:eastAsia="Times New Roman" w:hAnsi="Times New Roman"/>
          <w:sz w:val="18"/>
          <w:szCs w:val="18"/>
          <w:color w:val="auto"/>
        </w:rPr>
        <w:t>. Holder hereby represents and warrants to the Purchaser and the Company as follows:</w:t>
      </w:r>
    </w:p>
    <w:p>
      <w:pPr>
        <w:spacing w:after="0" w:line="148" w:lineRule="exact"/>
        <w:rPr>
          <w:rFonts w:ascii="Times New Roman" w:cs="Times New Roman" w:eastAsia="Times New Roman" w:hAnsi="Times New Roman"/>
          <w:sz w:val="18"/>
          <w:szCs w:val="18"/>
          <w:color w:val="auto"/>
        </w:rPr>
      </w:pPr>
    </w:p>
    <w:p>
      <w:pPr>
        <w:ind w:left="-40" w:right="80" w:firstLine="872"/>
        <w:spacing w:after="0" w:line="253" w:lineRule="auto"/>
        <w:tabs>
          <w:tab w:leader="none" w:pos="106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Holder (i) if a natural person, is of legal age to execute this Agreement and is legally competent to do so and (ii) if not a natural person, is (A) a corporation, limited liability company, company or partnership duly organized and validly existing under the laws of the jurisdiction of its organization and (B) has all necessary power and authority to execute and deliver this Agreement, to perform its obligations hereunder and to consummate the transactions contemplated hereby. If Holder is not a natural person, the execution and delivery of this Agreement, the performance of its obligations hereunder and the consummation of the transactions contemplated hereby by Holder has been duly authorized by all necessary corporate, limited liability or partnership action on the part of Holder, as applicable. This Agreement, assuming due authorization, execution and delivery hereof by the other parties hereto, constitutes a legal, valid and binding obligation of Holder, enforceable against Holder in accordance with its terms (except as such enforceability may be limited by bankruptcy, insolvency, fraudulent transfer, reorganization, moratorium and other similar laws of general applicability relating to or affecting creditor’s rights, and to general equitable principles). Holder understands and acknowledges that the Purchaser is entering into the Merger Agreement in reliance upon the execution and delivery of this Agreement by Holder.</w:t>
      </w:r>
    </w:p>
    <w:p>
      <w:pPr>
        <w:spacing w:after="0" w:line="126" w:lineRule="exact"/>
        <w:rPr>
          <w:rFonts w:ascii="Times New Roman" w:cs="Times New Roman" w:eastAsia="Times New Roman" w:hAnsi="Times New Roman"/>
          <w:sz w:val="18"/>
          <w:szCs w:val="18"/>
          <w:color w:val="auto"/>
        </w:rPr>
      </w:pPr>
    </w:p>
    <w:p>
      <w:pPr>
        <w:ind w:left="-40" w:firstLine="872"/>
        <w:spacing w:after="0" w:line="253" w:lineRule="auto"/>
        <w:tabs>
          <w:tab w:leader="none" w:pos="1079"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Securities</w:t>
      </w:r>
      <w:r>
        <w:rPr>
          <w:rFonts w:ascii="Times New Roman" w:cs="Times New Roman" w:eastAsia="Times New Roman" w:hAnsi="Times New Roman"/>
          <w:sz w:val="18"/>
          <w:szCs w:val="18"/>
          <w:color w:val="auto"/>
        </w:rPr>
        <w:t>. As of the date hereof, Holder has beneficial ownership over the type and number of the Shares and, to the extent applicable, the other securities issued by the Company set forth under Holder’s name on the signature page hereto (collectively,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is the lawful owner of such Securities, has the sole power to vote or cause to be voted such Securities (to the extent such Securities have associated voting rights), and has good and valid title to such Securities, free and clear of any and all pledges, mortgages, encumbrances, charges, proxies, voting agreements, liens, adverse claims, options, security interests and demands of any nature or kind whatsoever, other than those imposed by this Agreement, applicable securities Laws or the Company’s Organizational Documents, as in effect on the date hereof. There are no claims for finder’s fees or brokerage commission or other like payments in connection with this Agreement or the transactions contemplated hereby payable by Holder pursuant to arrangements made by Holder. Except for the Shares and other securities of the Company set forth under Holder’s name on the signature page hereto, as of the date of this Agreement, Holder is not a beneficial owner or record holder of any: (i) equity securities of the Company, (ii) securities of the Company having the right to vote on any matters on which the holders of equity securities of the Company may vote or which are convertible into or exchangeable for, at any time, equity securities of the Company or (iii) options, warrants or other rights to acquire from the Company any equity securities or securities convertible into or exchangeable for equity securities of the Company.</w:t>
      </w:r>
    </w:p>
    <w:p>
      <w:pPr>
        <w:spacing w:after="0" w:line="122" w:lineRule="exact"/>
        <w:rPr>
          <w:rFonts w:ascii="Times New Roman" w:cs="Times New Roman" w:eastAsia="Times New Roman" w:hAnsi="Times New Roman"/>
          <w:sz w:val="18"/>
          <w:szCs w:val="18"/>
          <w:color w:val="auto"/>
        </w:rPr>
      </w:pPr>
    </w:p>
    <w:p>
      <w:pPr>
        <w:ind w:left="-40" w:right="20" w:firstLine="872"/>
        <w:spacing w:after="0" w:line="254" w:lineRule="auto"/>
        <w:tabs>
          <w:tab w:leader="none" w:pos="106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No filing with, or notification to, any Governmental Authority, and no consent, approval, authorization or permit of any other person is necessary for the execution of this Agreement by Holder, the performance of its obligations hereunder or the consummation by it of the transactions contemplated hereby. None of the execution and delivery of this Agreement by Holder, the performance of its obligations hereunder or the consummation by it of the transactions contemplated hereby shall (i) conflict with or result in any breach of the certificate of incorporation, bylaws or other comparable organizational documents of Holder, if applicable, (ii) result in, or give rise to, a violation or breach of or a default under any of the terms of any Contract or obligation to which Holder is a party or by which Holder or any of the Securities or its other assets may be bound, or (iii) violate any applicable Law or Order, except for any of the foregoing in clauses (i) through (iii) as would not reasonably be expected to impair Holder’s ability to perform its obligations under this Agreement in any material respect.</w:t>
      </w:r>
    </w:p>
    <w:p>
      <w:pPr>
        <w:spacing w:after="0" w:line="110" w:lineRule="exact"/>
        <w:rPr>
          <w:rFonts w:ascii="Times New Roman" w:cs="Times New Roman" w:eastAsia="Times New Roman" w:hAnsi="Times New Roman"/>
          <w:sz w:val="18"/>
          <w:szCs w:val="18"/>
          <w:color w:val="auto"/>
        </w:rPr>
      </w:pPr>
    </w:p>
    <w:p>
      <w:pPr>
        <w:ind w:left="-40" w:right="60" w:firstLine="872"/>
        <w:spacing w:after="0" w:line="256" w:lineRule="auto"/>
        <w:tabs>
          <w:tab w:leader="none" w:pos="1079"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Holder hereby covenants and agrees that, except for this Agreement, Holder (i) has not entered into, nor will enter into at any time while this Agreement remains in effect, any voting agreement or voting trust with respect to the Securities inconsistent with Holder’s obligations pursuant to this Agreement, (ii) has not granted, nor will grant at any time while this Agreement remains in effect, a proxy, a consent or power of attorney with respect to the Securities and (iii) has not entered into any agreement or knowingly taken any action (nor will enter into any agreement or knowingly take any action) that would make any representation or warranty of Holder contained herein untrue or incorrect in any material respect or have the effect of preventing Holder from performing any of its material obligations under this Agreement.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617" w:right="359" w:bottom="1440" w:gutter="0" w:footer="0" w:header="0"/>
        </w:sectPr>
      </w:pPr>
    </w:p>
    <w:bookmarkStart w:id="283" w:name="page284"/>
    <w:bookmarkEnd w:id="283"/>
    <w:p>
      <w:pPr>
        <w:ind w:left="620" w:hanging="180"/>
        <w:spacing w:after="0"/>
        <w:tabs>
          <w:tab w:leader="none" w:pos="6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firstLine="872"/>
        <w:spacing w:after="0" w:line="255" w:lineRule="auto"/>
        <w:tabs>
          <w:tab w:leader="none" w:pos="1108"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Notwithstanding anything to the contrary contained herein, this Agreement shall automatically terminate, and none of the Purchaser, the Company or Holder shall have any rights or obligations hereunder, upon the earliest to occur of (i) the mutual written consent of the Purchaser, the Company and Holder, (ii) the Effective Time (following the performance of the obligations of the parties hereunder required to be performed at or prior to the Effective Time), and (iii) the date of termination of the Merger Agreement in accordance with its terms. The termination of this Agreement shall not prevent any party hereunder from seeking any remedies (at law or in equity) against another party hereto or relieve such party from liability for such party’s breach of any terms of this Agreement. Notwithstanding anything to the contrary herein, the provisions of this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shall survive the termination of this Agreement.</w:t>
      </w:r>
    </w:p>
    <w:p>
      <w:pPr>
        <w:spacing w:after="0" w:line="121" w:lineRule="exact"/>
        <w:rPr>
          <w:rFonts w:ascii="Times New Roman" w:cs="Times New Roman" w:eastAsia="Times New Roman" w:hAnsi="Times New Roman"/>
          <w:sz w:val="18"/>
          <w:szCs w:val="18"/>
          <w:color w:val="auto"/>
        </w:rPr>
      </w:pPr>
    </w:p>
    <w:p>
      <w:pPr>
        <w:ind w:right="20" w:firstLine="872"/>
        <w:spacing w:after="0" w:line="256" w:lineRule="auto"/>
        <w:tabs>
          <w:tab w:leader="none" w:pos="1119"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This Agreement and all of the provisions hereof shall be binding upon and inure to the benefit of the parties hereto and their respective permitted successors and assigns. This Agreement and all obligations of Holder are personal to Holder and may not be assigned, transferred or delegated by Holder at any time without the prior written consent of the Purchaser and the Company, and any purported assignment, transfer or delegation without such consent shall be null and void ab initio. Each of the Company and the Purchaser may freely assign any or all of its rights under this Agreement, in whole or in part, to any successor entity (whether by merger, consolidation, equity sale, asset sale or otherwise) without obtaining the consent or approval of Holder.</w:t>
      </w:r>
    </w:p>
    <w:p>
      <w:pPr>
        <w:spacing w:after="0" w:line="119" w:lineRule="exact"/>
        <w:rPr>
          <w:rFonts w:ascii="Times New Roman" w:cs="Times New Roman" w:eastAsia="Times New Roman" w:hAnsi="Times New Roman"/>
          <w:sz w:val="18"/>
          <w:szCs w:val="18"/>
          <w:color w:val="auto"/>
        </w:rPr>
      </w:pPr>
    </w:p>
    <w:p>
      <w:pPr>
        <w:ind w:right="180" w:firstLine="872"/>
        <w:spacing w:after="0" w:line="266" w:lineRule="auto"/>
        <w:tabs>
          <w:tab w:leader="none" w:pos="1108"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Nothing contained in this Agreement or in any instrument or document executed by any party in connection with the transactions contemplated hereby shall create any rights in, or be deemed to have been executed for the benefit of, any person that is not a party hereto or thereto or a successor or permitted assign of such a party.</w:t>
      </w:r>
    </w:p>
    <w:p>
      <w:pPr>
        <w:spacing w:after="0" w:line="94" w:lineRule="exact"/>
        <w:rPr>
          <w:rFonts w:ascii="Times New Roman" w:cs="Times New Roman" w:eastAsia="Times New Roman" w:hAnsi="Times New Roman"/>
          <w:sz w:val="18"/>
          <w:szCs w:val="18"/>
          <w:color w:val="auto"/>
        </w:rPr>
      </w:pPr>
    </w:p>
    <w:p>
      <w:pPr>
        <w:ind w:firstLine="872"/>
        <w:spacing w:after="0" w:line="253" w:lineRule="auto"/>
        <w:tabs>
          <w:tab w:leader="none" w:pos="1119"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and any dispute or controversy arising out of or relating to this Agreement shall be governed by and construed in accordance with the laws of the State of Delaware, without regard to the conflict of law principles thereof. All Actions arising out of or relating to this Agreement shall be heard and determined exclusively in any state or federal court located in Wilmington, Delaware (or in any appellate courts thereof) (the “</w:t>
      </w:r>
      <w:r>
        <w:rPr>
          <w:rFonts w:ascii="Times New Roman" w:cs="Times New Roman" w:eastAsia="Times New Roman" w:hAnsi="Times New Roman"/>
          <w:sz w:val="18"/>
          <w:szCs w:val="18"/>
          <w:b w:val="1"/>
          <w:bCs w:val="1"/>
          <w:i w:val="1"/>
          <w:iCs w:val="1"/>
          <w:color w:val="auto"/>
        </w:rPr>
        <w:t>Specified Courts</w:t>
      </w:r>
      <w:r>
        <w:rPr>
          <w:rFonts w:ascii="Times New Roman" w:cs="Times New Roman" w:eastAsia="Times New Roman" w:hAnsi="Times New Roman"/>
          <w:sz w:val="18"/>
          <w:szCs w:val="18"/>
          <w:color w:val="auto"/>
        </w:rPr>
        <w:t xml:space="preserve">”). Each party hereto hereby (i) submits to the exclusive jurisdiction of any Specified Court for the purpose of any Action arising out of or relating to this Agreement brought by any party hereto and (ii) irrevocably waives, and agrees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any Specified Court. Each party agrees that a final judgment in any Action shall be conclusive and may be enforced in other jurisdictions by suit on the judgment or in any other manner provided by Law. Each party irrevocably consents to the service of the summons and complaint and any other process in any other action or proceeding relating to the transactions contemplated by this Agreement, on behalf of itself, or its property, by personal delivery of copies of such process to such party at the applicable address set forth or referred to in </w:t>
      </w:r>
      <w:r>
        <w:rPr>
          <w:rFonts w:ascii="Times New Roman" w:cs="Times New Roman" w:eastAsia="Times New Roman" w:hAnsi="Times New Roman"/>
          <w:sz w:val="18"/>
          <w:szCs w:val="18"/>
          <w:u w:val="single" w:color="auto"/>
          <w:color w:val="auto"/>
        </w:rPr>
        <w:t>Section 5(g)</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shall affect the right of any party to serve legal process in any other manner permitted by applicable law.</w:t>
      </w:r>
    </w:p>
    <w:p>
      <w:pPr>
        <w:spacing w:after="0" w:line="119" w:lineRule="exact"/>
        <w:rPr>
          <w:rFonts w:ascii="Times New Roman" w:cs="Times New Roman" w:eastAsia="Times New Roman" w:hAnsi="Times New Roman"/>
          <w:sz w:val="18"/>
          <w:szCs w:val="18"/>
          <w:color w:val="auto"/>
        </w:rPr>
      </w:pPr>
    </w:p>
    <w:p>
      <w:pPr>
        <w:ind w:right="240" w:firstLine="872"/>
        <w:spacing w:after="0" w:line="269" w:lineRule="auto"/>
        <w:tabs>
          <w:tab w:leader="none" w:pos="1108"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OF THE PARTIES HERETO HEREBY WAIVES TO THE FULLEST EXTENT PERMITTED BY APPLICABLE LAW ANY RIGHT IT MAY HAVE TO A TRIAL BY JURY WITH RESPECT TO ANY ACTION DIRECTLY OR INDIRECTLY ARISING OUT OF, UNDER OR IN CONNECTION WITH THIS AGREEMENT OR THE TRANSACTIONS CONTEMPLATED HEREBY. EACH PARTY HERETO (i) CERTIFIES THAT NO REPRESENTATIVE OF ANY OTHER PARTY HAS REPRESENTED, EXPRESSLY OR OTHERWISE, THAT SUCH OTHER PARTY WOULD NOT, IN THE EVENT OF ANY ACTION, SEEK TO ENFORCE THAT FOREGOING WAIVER AND (ii)</w:t>
      </w:r>
    </w:p>
    <w:p>
      <w:pPr>
        <w:spacing w:after="0" w:line="2" w:lineRule="exact"/>
        <w:rPr>
          <w:rFonts w:ascii="Times New Roman" w:cs="Times New Roman" w:eastAsia="Times New Roman" w:hAnsi="Times New Roman"/>
          <w:sz w:val="17"/>
          <w:szCs w:val="17"/>
          <w:color w:val="auto"/>
        </w:rPr>
      </w:pPr>
    </w:p>
    <w:p>
      <w:pPr>
        <w:ind w:right="1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7"/>
          <w:szCs w:val="17"/>
          <w:color w:val="auto"/>
        </w:rPr>
      </w:pPr>
    </w:p>
    <w:p>
      <w:pPr>
        <w:ind w:firstLine="872"/>
        <w:spacing w:after="0" w:line="254" w:lineRule="auto"/>
        <w:tabs>
          <w:tab w:leader="none" w:pos="1089"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titles and subtitles used in this Agreement are for convenience only and are not to be considered in construing or interpreting this Agreement. In this Agreement, unless the context otherwise requires: (i) any pronoun used shall include the corresponding masculine, feminine or neuter forms, and the singular form of nouns, pronouns and verbs shall include the plural and vice versa; (ii) the term “including” (and with correlative meaning “include”) means including without limiting the generality of any description preceding or succeeding such term and shall be deemed in each case to be followed by the words “without limitation”; (iii) the words “herein,” “hereto,” and “hereby” and other words of similar import shall be deemed in each case to refer to this Agreement as a whole and not to any particular section or other subdivision of this Agreement; and (iv) the term “or” means “and/or”.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84" w:name="page285"/>
    <w:bookmarkEnd w:id="284"/>
    <w:p>
      <w:pPr>
        <w:ind w:firstLine="872"/>
        <w:spacing w:after="0" w:line="258" w:lineRule="auto"/>
        <w:tabs>
          <w:tab w:leader="none" w:pos="111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waivers and other communications hereunder shall be in writing and shall be deemed to have been duly given when delivered (i) in person, (ii) by facsimile or other electronic means (including email), with affirmative confirmation of receipt, (iii) one Business Day after being sent, if sent by reputable, nationally recognized overnight courier service or (iv) three (3) Business Days after being mailed, if sent by registered or certified mail, pre-paid and return receipt requested, in each case to the applicable party at the following addresses (or at such other address for a party as shall be specified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If to the Purchaser, to:</w:t>
            </w:r>
          </w:p>
        </w:tc>
        <w:tc>
          <w:tcPr>
            <w:tcW w:w="5140" w:type="dxa"/>
            <w:vAlign w:val="bottom"/>
            <w:gridSpan w:val="2"/>
          </w:tcPr>
          <w:p>
            <w:pPr>
              <w:ind w:left="1640"/>
              <w:spacing w:after="0"/>
              <w:rPr>
                <w:sz w:val="20"/>
                <w:szCs w:val="20"/>
                <w:color w:val="auto"/>
              </w:rPr>
            </w:pPr>
            <w:r>
              <w:rPr>
                <w:rFonts w:ascii="Times New Roman" w:cs="Times New Roman" w:eastAsia="Times New Roman" w:hAnsi="Times New Roman"/>
                <w:sz w:val="18"/>
                <w:szCs w:val="18"/>
                <w:i w:val="1"/>
                <w:iCs w:val="1"/>
                <w:color w:val="auto"/>
                <w:w w:val="99"/>
              </w:rPr>
              <w:t>with a copy (which will not constitute notice) to:</w:t>
            </w:r>
          </w:p>
        </w:tc>
      </w:tr>
      <w:tr>
        <w:trPr>
          <w:trHeight w:val="34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Bull Horn Holdings Corp.</w:t>
            </w:r>
          </w:p>
        </w:tc>
        <w:tc>
          <w:tcPr>
            <w:tcW w:w="51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Ellenoff Grossman &amp; Schole LLP</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801 S. Pointe Drive, Suite TH-1</w:t>
            </w:r>
          </w:p>
        </w:tc>
        <w:tc>
          <w:tcPr>
            <w:tcW w:w="5140" w:type="dxa"/>
            <w:vAlign w:val="bottom"/>
            <w:gridSpan w:val="2"/>
          </w:tcPr>
          <w:p>
            <w:pPr>
              <w:ind w:left="1640"/>
              <w:spacing w:after="0" w:line="216" w:lineRule="exact"/>
              <w:rPr>
                <w:sz w:val="20"/>
                <w:szCs w:val="20"/>
                <w:color w:val="auto"/>
              </w:rPr>
            </w:pPr>
            <w:r>
              <w:rPr>
                <w:rFonts w:ascii="Times New Roman" w:cs="Times New Roman" w:eastAsia="Times New Roman" w:hAnsi="Times New Roman"/>
                <w:sz w:val="18"/>
                <w:szCs w:val="18"/>
                <w:color w:val="auto"/>
              </w:rPr>
              <w:t>1345 Avenue of the Americas, 11</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Miami Beach, Florida 33139</w:t>
            </w:r>
          </w:p>
        </w:tc>
        <w:tc>
          <w:tcPr>
            <w:tcW w:w="51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New York, New York 10105</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Attn: Robert Striar, CEO</w:t>
            </w:r>
          </w:p>
        </w:tc>
        <w:tc>
          <w:tcPr>
            <w:tcW w:w="22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Attn:</w:t>
            </w:r>
          </w:p>
        </w:tc>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Stuart Neuhauser, Esq.;</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Telephone No.: (305) 671-3341</w:t>
            </w:r>
          </w:p>
        </w:tc>
        <w:tc>
          <w:tcPr>
            <w:tcW w:w="22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Matthew A. Gray, Esq.</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Email: stri@bullhornse.com</w:t>
            </w:r>
          </w:p>
        </w:tc>
        <w:tc>
          <w:tcPr>
            <w:tcW w:w="51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Facsimile No.: (212) 370-7889</w:t>
            </w:r>
          </w:p>
        </w:tc>
      </w:tr>
      <w:tr>
        <w:trPr>
          <w:trHeight w:val="216"/>
        </w:trPr>
        <w:tc>
          <w:tcPr>
            <w:tcW w:w="3980" w:type="dxa"/>
            <w:vAlign w:val="bottom"/>
          </w:tcPr>
          <w:p>
            <w:pPr>
              <w:spacing w:after="0"/>
              <w:rPr>
                <w:sz w:val="18"/>
                <w:szCs w:val="18"/>
                <w:color w:val="auto"/>
              </w:rPr>
            </w:pPr>
          </w:p>
        </w:tc>
        <w:tc>
          <w:tcPr>
            <w:tcW w:w="51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Telephone No.: (212) 370-1300</w:t>
            </w:r>
          </w:p>
        </w:tc>
      </w:tr>
      <w:tr>
        <w:trPr>
          <w:trHeight w:val="216"/>
        </w:trPr>
        <w:tc>
          <w:tcPr>
            <w:tcW w:w="3980" w:type="dxa"/>
            <w:vAlign w:val="bottom"/>
          </w:tcPr>
          <w:p>
            <w:pPr>
              <w:spacing w:after="0"/>
              <w:rPr>
                <w:sz w:val="18"/>
                <w:szCs w:val="18"/>
                <w:color w:val="auto"/>
              </w:rPr>
            </w:pPr>
          </w:p>
        </w:tc>
        <w:tc>
          <w:tcPr>
            <w:tcW w:w="22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Email:</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sneuhauser@egsllp.com;</w:t>
            </w:r>
          </w:p>
        </w:tc>
      </w:tr>
      <w:tr>
        <w:trPr>
          <w:trHeight w:val="234"/>
        </w:trPr>
        <w:tc>
          <w:tcPr>
            <w:tcW w:w="3980" w:type="dxa"/>
            <w:vAlign w:val="bottom"/>
          </w:tcPr>
          <w:p>
            <w:pPr>
              <w:spacing w:after="0"/>
              <w:rPr>
                <w:sz w:val="20"/>
                <w:szCs w:val="20"/>
                <w:color w:val="auto"/>
              </w:rPr>
            </w:pPr>
          </w:p>
        </w:tc>
        <w:tc>
          <w:tcPr>
            <w:tcW w:w="51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mgray@egsllp.com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the Company, 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Coeptis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 Bradford Road, Suite 420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Wexford, Pennsylvania 15090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David Mehalick,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(724) 268-4118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(724) 934-6467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dave.mehalick@coeptispharma.com</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(which will not constitute notice) 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Meister Seelig &amp; Fein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Park Avenue,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Denis A. Dufresne,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(212) 655-3535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(212) 655-3500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dad@msf-law.com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100330</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20"/>
          </w:cols>
          <w:pgMar w:left="320" w:top="621" w:right="339" w:bottom="1440" w:gutter="0" w:footer="0" w:header="0"/>
          <w:type w:val="continuous"/>
        </w:sectPr>
      </w:pPr>
    </w:p>
    <w:p>
      <w:pPr>
        <w:spacing w:after="0" w:line="5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If to Holder, to: </w:t>
      </w:r>
      <w:r>
        <w:rPr>
          <w:rFonts w:ascii="Times New Roman" w:cs="Times New Roman" w:eastAsia="Times New Roman" w:hAnsi="Times New Roman"/>
          <w:sz w:val="18"/>
          <w:szCs w:val="18"/>
          <w:color w:val="auto"/>
        </w:rPr>
        <w:t>the address set forth under Holder’s name on the signature page hereto, with a copy (which will not constitute notice) to, if not the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sending the notice, each of the Company and the Purchaser (and each of their copies for notices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2" w:lineRule="exact"/>
        <w:rPr>
          <w:sz w:val="20"/>
          <w:szCs w:val="20"/>
          <w:color w:val="auto"/>
        </w:rPr>
      </w:pPr>
    </w:p>
    <w:p>
      <w:pPr>
        <w:ind w:right="60" w:firstLine="872"/>
        <w:spacing w:after="0" w:line="258" w:lineRule="auto"/>
        <w:tabs>
          <w:tab w:leader="none" w:pos="111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Any term of this Agreement may be amended and the observance of any term of this Agreement may be waived (either generally or in a particular instance, and either retroactively or prospectively) only with the written consent of the Purchaser, the Company and the Holder. No failure or delay by a party in exercising any right hereunder shall operate as a waiver thereof. No waivers of or exceptions to any term, condition, or provision of this Agreement, in any one or more instances, shall be deemed to be or construed as a further or continuing waiver of any such term, condition, or provision.</w:t>
      </w:r>
    </w:p>
    <w:p>
      <w:pPr>
        <w:spacing w:after="0" w:line="115" w:lineRule="exact"/>
        <w:rPr>
          <w:rFonts w:ascii="Times New Roman" w:cs="Times New Roman" w:eastAsia="Times New Roman" w:hAnsi="Times New Roman"/>
          <w:sz w:val="18"/>
          <w:szCs w:val="18"/>
          <w:color w:val="auto"/>
        </w:rPr>
      </w:pPr>
    </w:p>
    <w:p>
      <w:pPr>
        <w:ind w:right="20" w:firstLine="872"/>
        <w:spacing w:after="0" w:line="256" w:lineRule="auto"/>
        <w:tabs>
          <w:tab w:leader="none" w:pos="107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in this Agreement shall be held invalid, illegal or unenforceable in a jurisdiction, such provision shall be modified or deleted, as to the jurisdiction involved, only to the extent necessary to render the same valid, legal and enforceable, and the validity, legality and enforceability of the remaining provisions hereof shall not in any way be affected or impaired thereby nor shall the validity, legality or enforceability of such provision be affected thereby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type w:val="continuous"/>
        </w:sectPr>
      </w:pPr>
    </w:p>
    <w:bookmarkStart w:id="285" w:name="page286"/>
    <w:bookmarkEnd w:id="285"/>
    <w:p>
      <w:pPr>
        <w:ind w:left="-20" w:right="20" w:firstLine="872"/>
        <w:spacing w:after="0" w:line="255" w:lineRule="auto"/>
        <w:tabs>
          <w:tab w:leader="none" w:pos="105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Holder acknowledges that its obligations under this Agreement are unique, recognizes and affirms that in the event of a breach of this Agreement by Holder, money damages will be inadequate and the Company and the Purchaser will not have adequate remedy at law, and agree that irreparable damage would occur in the event that any of the provisions of this Agreement were not performed by Holder in accordance with their specific terms or were otherwise breached. Accordingly, the Company and the Purchaser shall be entitled to an injunction or restraining order to prevent breaches of this Agreement by Holder and to enforce specifically the terms and provisions hereof, without the requirement to post any bond or other security or to prove that money damages would be inadequate, this being in addition to any other right or remedy to which such party may be entitled under this Agreement, at law or in equity.</w:t>
      </w:r>
    </w:p>
    <w:p>
      <w:pPr>
        <w:spacing w:after="0" w:line="107" w:lineRule="exact"/>
        <w:rPr>
          <w:rFonts w:ascii="Times New Roman" w:cs="Times New Roman" w:eastAsia="Times New Roman" w:hAnsi="Times New Roman"/>
          <w:sz w:val="18"/>
          <w:szCs w:val="18"/>
          <w:color w:val="auto"/>
        </w:rPr>
      </w:pPr>
    </w:p>
    <w:p>
      <w:pPr>
        <w:ind w:left="80" w:firstLine="862"/>
        <w:spacing w:after="0" w:line="258" w:lineRule="auto"/>
        <w:tabs>
          <w:tab w:leader="none" w:pos="119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shall be responsible for its own fees and expenses (including the fees and expenses of investment bankers, accountants and counsel) in connection with the entering into of this Agreement, the performance of its obligations hereunder and the consummation of the transactions contemplated hereby; provided, that in the event of any Action arising out of or relating to this Agreement, the non-prevailing party in any such Action will pay its own expenses and the reasonable documented out-of-pocket expenses, including reasonable attorneys’ fees and costs, reasonably incurred by the prevailing party.</w:t>
      </w:r>
    </w:p>
    <w:p>
      <w:pPr>
        <w:spacing w:after="0" w:line="115" w:lineRule="exact"/>
        <w:rPr>
          <w:rFonts w:ascii="Times New Roman" w:cs="Times New Roman" w:eastAsia="Times New Roman" w:hAnsi="Times New Roman"/>
          <w:sz w:val="18"/>
          <w:szCs w:val="18"/>
          <w:color w:val="auto"/>
        </w:rPr>
      </w:pPr>
    </w:p>
    <w:p>
      <w:pPr>
        <w:ind w:left="80" w:right="20" w:firstLine="862"/>
        <w:spacing w:after="0" w:line="256" w:lineRule="auto"/>
        <w:tabs>
          <w:tab w:leader="none" w:pos="115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Partnership, Agency or Joint Venture</w:t>
      </w:r>
      <w:r>
        <w:rPr>
          <w:rFonts w:ascii="Times New Roman" w:cs="Times New Roman" w:eastAsia="Times New Roman" w:hAnsi="Times New Roman"/>
          <w:sz w:val="18"/>
          <w:szCs w:val="18"/>
          <w:color w:val="auto"/>
        </w:rPr>
        <w:t>. This Agreement is intended to create a contractual relationship among Holder, the Company and the Purchaser, and is not intended to create, and does not create, any agency, partnership, joint venture or any like relationship among the parties hereto or among any other Company shareholders entering into voting agreements with the Company or the Purchaser. Holder is not affiliated with any other holder of securities of the Company entering into a voting agreement with the Company or the Purchaser in connection with the Merger Agreement and has acted independently regarding its decision to enter into this Agreement. Nothing contained in this Agreement shall be deemed to vest in the Company or the Purchaser any direct or indirect ownership or incidence of ownership of or with respect to any Securities.</w:t>
      </w:r>
    </w:p>
    <w:p>
      <w:pPr>
        <w:spacing w:after="0" w:line="120" w:lineRule="exact"/>
        <w:rPr>
          <w:sz w:val="20"/>
          <w:szCs w:val="20"/>
          <w:color w:val="auto"/>
        </w:rPr>
      </w:pPr>
    </w:p>
    <w:p>
      <w:pPr>
        <w:jc w:val="both"/>
        <w:ind w:left="-20" w:right="260" w:firstLine="872"/>
        <w:spacing w:after="0" w:line="266" w:lineRule="auto"/>
        <w:tabs>
          <w:tab w:leader="none" w:pos="114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at another party’s request and without further consideration, each party shall execute and deliver such additional documents and take all such further action as may be reasonably necessary or desirable to consummate the transactions contemplated by this Agreement.</w:t>
      </w:r>
    </w:p>
    <w:p>
      <w:pPr>
        <w:spacing w:after="0" w:line="94" w:lineRule="exact"/>
        <w:rPr>
          <w:rFonts w:ascii="Times New Roman" w:cs="Times New Roman" w:eastAsia="Times New Roman" w:hAnsi="Times New Roman"/>
          <w:sz w:val="18"/>
          <w:szCs w:val="18"/>
          <w:color w:val="auto"/>
        </w:rPr>
      </w:pPr>
    </w:p>
    <w:p>
      <w:pPr>
        <w:ind w:left="-20" w:right="240" w:firstLine="872"/>
        <w:spacing w:after="0" w:line="255" w:lineRule="auto"/>
        <w:tabs>
          <w:tab w:leader="none" w:pos="109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(together with the Merger Agreement to the extent referred to herein) constitutes the full and entire understanding and agreement among the parties with respect to the subject matter hereof, and any other written or oral agreement relating to the subject matter hereof existing between the parties is expressly canceled;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foregoing shall not affect the rights and obligations of the parties under the Merger Agreement or any Ancillary Document. Notwithstanding the foregoing, nothing in this Agreement shall limit any of the rights or remedies of the Purchaser or any of the obligations of Holder under any other agreement between Holder and the Purchaser or any certificate or instrument executed by Holder in favor of the Purchaser, and nothing in any other agreement, certificate or instrument shall limit any of the rights or remedies of the Purchaser or any of the obligations of Holder under this Agreement.</w:t>
      </w:r>
    </w:p>
    <w:p>
      <w:pPr>
        <w:spacing w:after="0" w:line="121" w:lineRule="exact"/>
        <w:rPr>
          <w:rFonts w:ascii="Times New Roman" w:cs="Times New Roman" w:eastAsia="Times New Roman" w:hAnsi="Times New Roman"/>
          <w:sz w:val="18"/>
          <w:szCs w:val="18"/>
          <w:color w:val="auto"/>
        </w:rPr>
      </w:pPr>
    </w:p>
    <w:p>
      <w:pPr>
        <w:ind w:left="-20" w:right="560" w:firstLine="872"/>
        <w:spacing w:after="0" w:line="282" w:lineRule="auto"/>
        <w:tabs>
          <w:tab w:leader="none" w:pos="109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Facsimile</w:t>
      </w:r>
      <w:r>
        <w:rPr>
          <w:rFonts w:ascii="Times New Roman" w:cs="Times New Roman" w:eastAsia="Times New Roman" w:hAnsi="Times New Roman"/>
          <w:sz w:val="18"/>
          <w:szCs w:val="18"/>
          <w:color w:val="auto"/>
        </w:rPr>
        <w:t>. This Agreement may be executed in multiple counterparts (including by facsimile or pdf or other electronic document transmission), each of which shall be deemed an original, and all of which taken together shall constitute one and the same instrument.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Voting and Support Agreement as of the date first written above.</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i w:val="1"/>
          <w:iCs w:val="1"/>
          <w:u w:val="single" w:color="auto"/>
          <w:color w:val="auto"/>
        </w:rPr>
        <w:t>The Purchaser:</w:t>
      </w:r>
    </w:p>
    <w:p>
      <w:pPr>
        <w:spacing w:after="0" w:line="19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-119380</wp:posOffset>
            </wp:positionV>
            <wp:extent cx="292290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i w:val="1"/>
          <w:iCs w:val="1"/>
          <w:u w:val="single" w:color="auto"/>
          <w:color w:val="auto"/>
        </w:rPr>
        <w:t>The Company:</w:t>
      </w:r>
    </w:p>
    <w:p>
      <w:pPr>
        <w:spacing w:after="0" w:line="19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-119380</wp:posOffset>
            </wp:positionV>
            <wp:extent cx="292290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4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Voting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26035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99"/>
          </w:cols>
          <w:pgMar w:left="760" w:top="617" w:right="1440" w:bottom="1440" w:gutter="0" w:footer="0" w:header="0"/>
        </w:sectPr>
      </w:pPr>
    </w:p>
    <w:bookmarkStart w:id="287" w:name="page288"/>
    <w:bookmarkEnd w:id="287"/>
    <w:p>
      <w:pPr>
        <w:ind w:left="4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Voting and Support Agreement as of the date first written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Holder</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-119380</wp:posOffset>
            </wp:positionV>
            <wp:extent cx="307721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 and Type of Securities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shares of Company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shares of Series B Convertible Preferred Stock of the Company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Company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 number/amount and shares (including the specific type) into which securities are convertible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as applicable.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Address:_______________________________</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No.:__________________________</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No.:_________________________</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Email:________________________________</w:t>
      </w:r>
    </w:p>
    <w:p>
      <w:pPr>
        <w:spacing w:after="0" w:line="14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Voting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20"/>
          </w:cols>
          <w:pgMar w:left="320" w:top="617" w:right="115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1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13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Bull Horn Holdings Corp.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HEREBY CERTIFY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880" w:right="140" w:hanging="440"/>
        <w:spacing w:after="0" w:line="282" w:lineRule="auto"/>
        <w:tabs>
          <w:tab w:leader="none" w:pos="85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Corporation was originally formed under the name Bull Horn Holdings Corp. in the Territory of the British Virgin Islands pursuant to the BVI Business Companies Act 2004 on November 27, 2018; and</w:t>
      </w:r>
    </w:p>
    <w:p>
      <w:pPr>
        <w:spacing w:after="0" w:line="94" w:lineRule="exact"/>
        <w:rPr>
          <w:rFonts w:ascii="Times New Roman" w:cs="Times New Roman" w:eastAsia="Times New Roman" w:hAnsi="Times New Roman"/>
          <w:sz w:val="18"/>
          <w:szCs w:val="18"/>
          <w:color w:val="auto"/>
        </w:rPr>
      </w:pPr>
    </w:p>
    <w:p>
      <w:pPr>
        <w:ind w:left="880" w:right="600" w:hanging="440"/>
        <w:spacing w:after="0" w:line="282" w:lineRule="auto"/>
        <w:tabs>
          <w:tab w:leader="none" w:pos="85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domesticated from the British Virgin Islands and to the State of Delaware on _______________, 2022, and has thereafter continued as a Delaware corporation; and</w:t>
      </w:r>
    </w:p>
    <w:p>
      <w:pPr>
        <w:spacing w:after="0" w:line="80" w:lineRule="exact"/>
        <w:rPr>
          <w:rFonts w:ascii="Times New Roman" w:cs="Times New Roman" w:eastAsia="Times New Roman" w:hAnsi="Times New Roman"/>
          <w:sz w:val="18"/>
          <w:szCs w:val="18"/>
          <w:color w:val="auto"/>
        </w:rPr>
      </w:pPr>
    </w:p>
    <w:p>
      <w:pPr>
        <w:ind w:left="880" w:right="320" w:hanging="440"/>
        <w:spacing w:after="0" w:line="261" w:lineRule="auto"/>
        <w:tabs>
          <w:tab w:leader="none" w:pos="85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Corporation’s board of directors duly adopted resolutions proposing to amend and restate the Certificate of Incorporation of this Corporation, declaring said amendment and restatement to be advisable and in the best interest of this Corporation and its stockholders, and authorizing the appropriate officers of this Corporation to solicit the consent of the stockholders therefor, which resolution setting forth the proposed amendment and restatement is as follows:</w:t>
      </w:r>
    </w:p>
    <w:p>
      <w:pPr>
        <w:spacing w:after="0" w:line="108"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Certificate of Incorporation of the Corporation be amended and restated in its entirety to read as follows (the “</w:t>
      </w: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this Corporation is Coeptis Therapeutics Holdings,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_____________________. The name of its registered agent at such address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1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General Corporation Law of the State of Delaware.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154"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Classes of Stock and Authorized Shares</w:t>
      </w:r>
      <w:r>
        <w:rPr>
          <w:rFonts w:ascii="Times New Roman" w:cs="Times New Roman" w:eastAsia="Times New Roman" w:hAnsi="Times New Roman"/>
          <w:sz w:val="18"/>
          <w:szCs w:val="18"/>
          <w:color w:val="auto"/>
        </w:rPr>
        <w:t>. The Corporation is authorized to issue two classes of stock to be designated, respectively,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Preferred Stock, par value $0.0001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The total number of shares which the Corporation is authorized to issue is 160,000,000 shares, of which 150,000,000 shares shall be Common Stock, and 10,000,000 shares shall be Preferred Stock.</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89" w:name="page290"/>
    <w:bookmarkEnd w:id="289"/>
    <w:p>
      <w:pPr>
        <w:ind w:left="4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Rights, Powers, Preferences and Restrictions of Preferred Stock</w:t>
      </w:r>
      <w:r>
        <w:rPr>
          <w:rFonts w:ascii="Times New Roman" w:cs="Times New Roman" w:eastAsia="Times New Roman" w:hAnsi="Times New Roman"/>
          <w:sz w:val="18"/>
          <w:szCs w:val="18"/>
          <w:color w:val="auto"/>
        </w:rPr>
        <w:t>. The Board of Directors of the corporation is hereby expressly authorized,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or resolutions thereof and the filing of a certificate pursuant to the applicable law of the State of Delaware (hereinafter referred to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 Designation</w:t>
      </w:r>
      <w:r>
        <w:rPr>
          <w:rFonts w:ascii="Times New Roman" w:cs="Times New Roman" w:eastAsia="Times New Roman" w:hAnsi="Times New Roman"/>
          <w:sz w:val="18"/>
          <w:szCs w:val="18"/>
          <w:color w:val="auto"/>
        </w:rPr>
        <w:t>”), to provide, out of the unissued shares of Preferred Stock, for one or more series of Preferred Stock and,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such series, to fix the number of shares constituting such series and the designation of such series, the voting powers, if any, of the shares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and the preferences and relative, participating, optional or other special rights, if any, and any qualifications, limitations or restrictions thereof,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such series. The powers, preferences and relative, participating, optional and other special rights of each series of Preferred Stock,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qualifications, limitations or restrictions thereof, if any, may differ from those of any and all other series at any time outstanding. Subject to Section A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Article IV and any Preferred Stock Designation, the Board of Directors is also expressly authorized to increase or decrease the number of shares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of Preferred Stock subsequent to the issuance of shares of that series, but not below the number of shares of such series then outstanding.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expressly provided in the certificate of designations in respect of any series of Preferred Stock, in case the number of shares of such series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decreased in accordance with the foregoing sentence, the shares constituting such decrease shall resume the status that they had prior to the adoption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resolution originally fixing the number of shares of such series.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Rights of Common Stock</w:t>
      </w:r>
      <w:r>
        <w:rPr>
          <w:rFonts w:ascii="Times New Roman" w:cs="Times New Roman" w:eastAsia="Times New Roman" w:hAnsi="Times New Roman"/>
          <w:sz w:val="18"/>
          <w:szCs w:val="18"/>
          <w:color w:val="auto"/>
        </w:rPr>
        <w:t>. The relative powers, rights, qualifications, limitations and restrictions granted to or imposed on the shares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are as follows:</w:t>
      </w:r>
    </w:p>
    <w:p>
      <w:pPr>
        <w:spacing w:after="0" w:line="139" w:lineRule="exact"/>
        <w:rPr>
          <w:sz w:val="20"/>
          <w:szCs w:val="20"/>
          <w:color w:val="auto"/>
        </w:rPr>
      </w:pPr>
    </w:p>
    <w:p>
      <w:pPr>
        <w:ind w:left="740" w:right="60" w:firstLine="576"/>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powers and dividend and liquidation rights and preferences, if any, of the holders of the Common Stock are subject to and qualified by the rights of the holders of the Preferred Stock of any series as may be designated by the Board of Directors upon any issuance of the Preferred Stock of any series.</w:t>
      </w:r>
    </w:p>
    <w:p>
      <w:pPr>
        <w:spacing w:after="0" w:line="108" w:lineRule="exact"/>
        <w:rPr>
          <w:sz w:val="20"/>
          <w:szCs w:val="20"/>
          <w:color w:val="auto"/>
        </w:rPr>
      </w:pPr>
    </w:p>
    <w:p>
      <w:pPr>
        <w:ind w:left="740" w:right="80" w:firstLine="576"/>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xml:space="preserve">. Except as may be otherwise provided by this Restated Certificate, a Preferred Stock Designation or by applicable law, the holders of the Common Stock shall be entitled to one vote for each share upon each matter presented to the stockholders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except as otherwise required by law, holders of Common Stock shall not be entitled to vote on any amendment to this Restated Certificate or a Preferred Stock Designation that relates solely to the terms of one or more outstanding series of Preferred Stock if the holders of such affected series are entitled, either separately or together as a class with the holders of one or more other such series, to vote thereon pursuant to this Restated Certificate, a Preferred Stock Designation or the General Corporation Law. There shall be no cumulative voting. The number of authorized shares of Common Stock or Preferred Stock may be increased or decreased (but not below the number of shares thereof then outstanding) by the affirmative vote of the holders of a majority of the voting power of the capital stock of the Corporation entitled to vote thereon, voting as a single class, irrespective of the provisions of Section 242(b)(2) of the General Corporation Law.</w:t>
      </w:r>
    </w:p>
    <w:p>
      <w:pPr>
        <w:spacing w:after="0" w:line="107" w:lineRule="exact"/>
        <w:rPr>
          <w:sz w:val="20"/>
          <w:szCs w:val="20"/>
          <w:color w:val="auto"/>
        </w:rPr>
      </w:pPr>
    </w:p>
    <w:p>
      <w:pPr>
        <w:jc w:val="both"/>
        <w:ind w:left="740" w:right="20" w:firstLine="576"/>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Dividends may be declared and paid on the Common Stock from funds lawfully available therefor as and when determined by the Board of Directors and subject to any preferential dividend or other rights of any then outstanding Preferred Stock and to the requirements of applicable law.</w:t>
      </w:r>
    </w:p>
    <w:p>
      <w:pPr>
        <w:spacing w:after="0" w:line="108" w:lineRule="exact"/>
        <w:rPr>
          <w:sz w:val="20"/>
          <w:szCs w:val="20"/>
          <w:color w:val="auto"/>
        </w:rPr>
      </w:pPr>
    </w:p>
    <w:p>
      <w:pPr>
        <w:jc w:val="both"/>
        <w:ind w:left="740" w:right="120" w:firstLine="576"/>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Upon the dissolution or liquidation of the Corporation, whether voluntary or involuntary, holders of Common Stock will be entitled to receive all assets of the Corporation legally available for distribution to its stockholders, subject to any preferential or other rights of any then outstanding Preferred Stock.</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w:t>
      </w:r>
    </w:p>
    <w:p>
      <w:pPr>
        <w:spacing w:after="0" w:line="14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upon it by the General Corporation Law, and subject to the terms of any series of Preferred Stock, the Board of Directors is expressly authorized and empowered to adopt, amend or repeal the Bylaws of the Corporation. The stockholders may not adopt, amend, alter or repeal the Bylaws of the Corporation, or adopt any provision inconsistent therewith, unless such action is approved, in addition to any other vote required by this Restated Certificate, by the affirmative vote of the holders of a majority in voting power of the outstanding shares of capital stock of the Corporation entitled to vote thereon. Notwithstanding any other provisions of law, this Restated Certificate or the Bylaws of the Corporation, and notwithstanding the fact that a lesser percentage may be specified by law, the affirmative vote of the holders of a majority in voting power of the outstanding shares of capital stock of the Corporation entitled to vote thereon shall be required to amend or repeal, or to adopt any provision inconsistent with, this Article V.</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290" w:name="page291"/>
    <w:bookmarkEnd w:id="290"/>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140"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Authority of Board</w:t>
      </w:r>
      <w:r>
        <w:rPr>
          <w:rFonts w:ascii="Times New Roman" w:cs="Times New Roman" w:eastAsia="Times New Roman" w:hAnsi="Times New Roman"/>
          <w:sz w:val="18"/>
          <w:szCs w:val="18"/>
          <w:color w:val="auto"/>
        </w:rPr>
        <w:t>. The business and affairs of the Corporation shall be managed by or under the direction of the Board of Directors. In addition to the powers and authority expressly conferred by statute or by this Restated Certificate or the Bylaws of the Corporation, the Board of Directors is hereby empowered to exercise all such powers and do all such acts and things as may be exercised or done by the Corporation.</w:t>
      </w:r>
    </w:p>
    <w:p>
      <w:pPr>
        <w:spacing w:after="0" w:line="103" w:lineRule="exact"/>
        <w:rPr>
          <w:sz w:val="20"/>
          <w:szCs w:val="20"/>
          <w:color w:val="auto"/>
        </w:rPr>
      </w:pPr>
    </w:p>
    <w:p>
      <w:pPr>
        <w:ind w:right="40" w:firstLine="432"/>
        <w:spacing w:after="0" w:line="26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Board Size</w:t>
      </w:r>
      <w:r>
        <w:rPr>
          <w:rFonts w:ascii="Times New Roman" w:cs="Times New Roman" w:eastAsia="Times New Roman" w:hAnsi="Times New Roman"/>
          <w:sz w:val="18"/>
          <w:szCs w:val="18"/>
          <w:color w:val="auto"/>
        </w:rPr>
        <w:t>. Subject to the rights of the holders of any series of Preferred Stock to elect additional directors pursuant to any Preferred Stock Designation, the total number of authorized directors constituting the Board of Directors (the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be fixed from time to time exclusively by the Board of Directors pursuant to a resolution adopted by a majority of the Whole Board.</w:t>
      </w:r>
    </w:p>
    <w:p>
      <w:pPr>
        <w:spacing w:after="0" w:line="103" w:lineRule="exact"/>
        <w:rPr>
          <w:sz w:val="20"/>
          <w:szCs w:val="20"/>
          <w:color w:val="auto"/>
        </w:rPr>
      </w:pPr>
    </w:p>
    <w:p>
      <w:pPr>
        <w:ind w:right="60" w:firstLine="432"/>
        <w:spacing w:after="0" w:line="257"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Removal; Vacancies</w:t>
      </w:r>
      <w:r>
        <w:rPr>
          <w:rFonts w:ascii="Times New Roman" w:cs="Times New Roman" w:eastAsia="Times New Roman" w:hAnsi="Times New Roman"/>
          <w:sz w:val="18"/>
          <w:szCs w:val="18"/>
          <w:color w:val="auto"/>
        </w:rPr>
        <w:t>. Any director may be removed from office by the stockholders of the Corporation by the affirmative vote of the holders of a majority in voting power of the capital stock of the Corporation entitled to vote thereon and also by the majority of the remaining members of the Board of Directors. Vacancies occurring on the Board of Directors for any reason and newly created directorships resulting from an increase in the authorized number of directors may be filled exclusively pursuant to a resolution adopted by the Board of Directors and not by the stockholders. A person elected to fill a vacancy or newly created directorship shall hold office until the next election of directors at which such director shall have been chosen and until his or her successor shall be duly elected and qualified.</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154" w:lineRule="exact"/>
        <w:rPr>
          <w:sz w:val="20"/>
          <w:szCs w:val="20"/>
          <w:color w:val="auto"/>
        </w:rPr>
      </w:pPr>
    </w:p>
    <w:p>
      <w:pPr>
        <w:ind w:right="140" w:firstLine="432"/>
        <w:spacing w:after="0" w:line="28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No Cumulative Voting</w:t>
      </w:r>
      <w:r>
        <w:rPr>
          <w:rFonts w:ascii="Times New Roman" w:cs="Times New Roman" w:eastAsia="Times New Roman" w:hAnsi="Times New Roman"/>
          <w:sz w:val="18"/>
          <w:szCs w:val="18"/>
          <w:color w:val="auto"/>
        </w:rPr>
        <w:t>. No stockholder will be permitted to cumulate votes in any election of directors. The election of directors need not be by written ballot unless the Bylaws of the Corporation shall so provide.</w:t>
      </w:r>
    </w:p>
    <w:p>
      <w:pPr>
        <w:spacing w:after="0" w:line="87" w:lineRule="exact"/>
        <w:rPr>
          <w:sz w:val="20"/>
          <w:szCs w:val="20"/>
          <w:color w:val="auto"/>
        </w:rPr>
      </w:pPr>
    </w:p>
    <w:p>
      <w:pPr>
        <w:ind w:right="340" w:firstLine="432"/>
        <w:spacing w:after="0" w:line="28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Special Meetings</w:t>
      </w:r>
      <w:r>
        <w:rPr>
          <w:rFonts w:ascii="Times New Roman" w:cs="Times New Roman" w:eastAsia="Times New Roman" w:hAnsi="Times New Roman"/>
          <w:sz w:val="18"/>
          <w:szCs w:val="18"/>
          <w:color w:val="auto"/>
        </w:rPr>
        <w:t>. Special meetings of the stockholders may be called only by (i) the Board of Directors pursuant to a resolution adopted by a majority of the Whole Board; (ii) the chairman of the Board of Directors; or (iii) the chief executive officer or president of the Corporation.</w:t>
      </w:r>
    </w:p>
    <w:p>
      <w:pPr>
        <w:spacing w:after="0" w:line="74" w:lineRule="exact"/>
        <w:rPr>
          <w:sz w:val="20"/>
          <w:szCs w:val="20"/>
          <w:color w:val="auto"/>
        </w:rPr>
      </w:pPr>
    </w:p>
    <w:p>
      <w:pPr>
        <w:ind w:right="80" w:firstLine="432"/>
        <w:spacing w:after="0" w:line="26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 Stockholder Action by Written Consent</w:t>
      </w:r>
      <w:r>
        <w:rPr>
          <w:rFonts w:ascii="Times New Roman" w:cs="Times New Roman" w:eastAsia="Times New Roman" w:hAnsi="Times New Roman"/>
          <w:sz w:val="18"/>
          <w:szCs w:val="18"/>
          <w:color w:val="auto"/>
        </w:rPr>
        <w:t>. Subject to the rights of the holders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154"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Forum Selection</w:t>
      </w:r>
      <w:r>
        <w:rPr>
          <w:rFonts w:ascii="Times New Roman" w:cs="Times New Roman" w:eastAsia="Times New Roman" w:hAnsi="Times New Roman"/>
          <w:sz w:val="18"/>
          <w:szCs w:val="18"/>
          <w:color w:val="auto"/>
        </w:rPr>
        <w:t>. Subject to the last sentence in this Article VIII(A),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General Corporation Law or this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Article VIII(A)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91" w:name="page292"/>
    <w:bookmarkEnd w:id="291"/>
    <w:p>
      <w:pPr>
        <w:ind w:right="140" w:firstLine="432"/>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Consent to Jurisdiction</w:t>
      </w:r>
      <w:r>
        <w:rPr>
          <w:rFonts w:ascii="Times New Roman" w:cs="Times New Roman" w:eastAsia="Times New Roman" w:hAnsi="Times New Roman"/>
          <w:sz w:val="18"/>
          <w:szCs w:val="18"/>
          <w:color w:val="auto"/>
        </w:rPr>
        <w:t>. If any action the subject matter of which is within the scope of Article VIII(A) immediately above is filed in a court other than a court located within the State of Delaware (a “</w:t>
      </w:r>
      <w:r>
        <w:rPr>
          <w:rFonts w:ascii="Times New Roman" w:cs="Times New Roman" w:eastAsia="Times New Roman" w:hAnsi="Times New Roman"/>
          <w:sz w:val="18"/>
          <w:szCs w:val="18"/>
          <w:b w:val="1"/>
          <w:bCs w:val="1"/>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(i) the personal jurisdiction of the state and federal courts located within the State of Delaware in connection with any action brought in any such court to enforce Article VIII(A) immediately above (an “</w:t>
      </w:r>
      <w:r>
        <w:rPr>
          <w:rFonts w:ascii="Times New Roman" w:cs="Times New Roman" w:eastAsia="Times New Roman" w:hAnsi="Times New Roman"/>
          <w:sz w:val="18"/>
          <w:szCs w:val="18"/>
          <w:b w:val="1"/>
          <w:bCs w:val="1"/>
          <w:color w:val="auto"/>
        </w:rPr>
        <w:t>FSC Enforcement Action</w:t>
      </w:r>
      <w:r>
        <w:rPr>
          <w:rFonts w:ascii="Times New Roman" w:cs="Times New Roman" w:eastAsia="Times New Roman" w:hAnsi="Times New Roman"/>
          <w:sz w:val="18"/>
          <w:szCs w:val="18"/>
          <w:color w:val="auto"/>
        </w:rPr>
        <w:t>”) and (ii) having service of process made upon such stockholder in any such FSC Enforcement Action by service upon such stockholder’s counsel in the Foreign Action as agent for such stockholder.</w:t>
      </w:r>
    </w:p>
    <w:p>
      <w:pPr>
        <w:spacing w:after="0" w:line="98"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Article VIII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VIII (including, without limitation, each portion of any sentence of this Article VIII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12"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Deemed Notice</w:t>
      </w:r>
      <w:r>
        <w:rPr>
          <w:rFonts w:ascii="Times New Roman" w:cs="Times New Roman" w:eastAsia="Times New Roman" w:hAnsi="Times New Roman"/>
          <w:sz w:val="18"/>
          <w:szCs w:val="18"/>
          <w:color w:val="auto"/>
        </w:rPr>
        <w:t>. Any person or entity purchasing or otherwise acquiring or holding any interest in any security of the Corporation shall be deemed to have notice of and consented to this Article VIII.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14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Corporation reserves the right to amend, alter, change or repeal any provision contained in this Restated Certificate, in the manner now or hereafter prescribed by statute, and all rights conferred upon stockholders herein are granted subject to this reservation. Notwithstanding any other provision of this Restated Certificate or applicable law and in addition to any affirmative vote of the holders of any particular class of stock of the Corporation required by applicable law or by a Preferred Stock Designation or this Restated Certificate and of the Board of Directors, the affirmative vote of the holders of a majority of the voting power of the capital stock of the Corporation entitled to vote thereon, voting as a single class, shall be required to amend, repeal, or adopt any provisions of this Restated Certificate.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92" w:name="page293"/>
    <w:bookmarkEnd w:id="292"/>
    <w:p>
      <w:pPr>
        <w:ind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this Amended and Restated Certificate of Incorporation has been signed on behalf of the Corporation by its duly authorized officer effective this __ day of _____,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 HORN HOLDINGS CORP.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-119380</wp:posOffset>
            </wp:positionV>
            <wp:extent cx="312864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0"/>
          </w:cols>
          <w:pgMar w:left="320" w:top="621" w:right="105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22"/>
          <w:szCs w:val="22"/>
          <w:b w:val="1"/>
          <w:bCs w:val="1"/>
          <w:color w:val="auto"/>
        </w:rPr>
        <w:t>Annex C</w:t>
      </w:r>
    </w:p>
    <w:p>
      <w:pPr>
        <w:spacing w:after="0" w:line="200" w:lineRule="exact"/>
        <w:rPr>
          <w:sz w:val="20"/>
          <w:szCs w:val="20"/>
          <w:color w:val="auto"/>
        </w:rPr>
      </w:pPr>
    </w:p>
    <w:p>
      <w:pPr>
        <w:spacing w:after="0" w:line="3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AMENDED AND</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RESTATED BYLAWS</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(and, once renamed, COEPTIS THERAPEUTICS HOLDINGS,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 of Stockholders</w:t>
      </w:r>
    </w:p>
    <w:p>
      <w:pPr>
        <w:spacing w:after="0" w:line="122" w:lineRule="exact"/>
        <w:rPr>
          <w:sz w:val="20"/>
          <w:szCs w:val="20"/>
          <w:color w:val="auto"/>
        </w:rPr>
      </w:pPr>
    </w:p>
    <w:p>
      <w:pPr>
        <w:ind w:left="440" w:right="260" w:hanging="432"/>
        <w:spacing w:after="0" w:line="268" w:lineRule="auto"/>
        <w:tabs>
          <w:tab w:leader="none" w:pos="41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Annual Meetings</w:t>
      </w:r>
      <w:r>
        <w:rPr>
          <w:rFonts w:ascii="Times New Roman" w:cs="Times New Roman" w:eastAsia="Times New Roman" w:hAnsi="Times New Roman"/>
          <w:sz w:val="18"/>
          <w:szCs w:val="18"/>
          <w:color w:val="auto"/>
        </w:rPr>
        <w:t>. If required by applicable law, an annual meeting of stockholders shall be held for the election of directors at such date,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place, if any, either within or without the State of Delaware, as may be designated by resolution of the Board of Directors from time to time. Any other proper business may be transacted at the annual meeting.</w:t>
      </w:r>
    </w:p>
    <w:p>
      <w:pPr>
        <w:spacing w:after="0" w:line="103" w:lineRule="exact"/>
        <w:rPr>
          <w:rFonts w:ascii="Times New Roman" w:cs="Times New Roman" w:eastAsia="Times New Roman" w:hAnsi="Times New Roman"/>
          <w:sz w:val="18"/>
          <w:szCs w:val="18"/>
          <w:color w:val="auto"/>
        </w:rPr>
      </w:pPr>
    </w:p>
    <w:p>
      <w:pPr>
        <w:ind w:left="440" w:right="20" w:hanging="432"/>
        <w:spacing w:after="0" w:line="262" w:lineRule="auto"/>
        <w:tabs>
          <w:tab w:leader="none" w:pos="41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Special Meetings</w:t>
      </w:r>
      <w:r>
        <w:rPr>
          <w:rFonts w:ascii="Times New Roman" w:cs="Times New Roman" w:eastAsia="Times New Roman" w:hAnsi="Times New Roman"/>
          <w:sz w:val="18"/>
          <w:szCs w:val="18"/>
          <w:color w:val="auto"/>
        </w:rPr>
        <w:t>. Special meetings of stockholders for any purpose or purposes may be called at any time by the Chairman of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by the Chief Executive Officer or President, or by a resolution adopted by a majority of the whole Board of Directors, but such special meetings may not be called by any other person or persons. Business transacted at any special meeting of stockholders shall be limited to the purposes stated in the notice.</w:t>
      </w:r>
    </w:p>
    <w:p>
      <w:pPr>
        <w:spacing w:after="0" w:line="108" w:lineRule="exact"/>
        <w:rPr>
          <w:rFonts w:ascii="Times New Roman" w:cs="Times New Roman" w:eastAsia="Times New Roman" w:hAnsi="Times New Roman"/>
          <w:sz w:val="18"/>
          <w:szCs w:val="18"/>
          <w:color w:val="auto"/>
        </w:rPr>
      </w:pPr>
    </w:p>
    <w:p>
      <w:pPr>
        <w:ind w:left="440" w:right="60" w:hanging="432"/>
        <w:spacing w:after="0" w:line="246" w:lineRule="auto"/>
        <w:tabs>
          <w:tab w:leader="none" w:pos="41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a notice of the meeting shall be given that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To be timely, a stockholder’s notice shall be delivered to the Secretary at the principal executive offices of the corporation not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such annual meeting and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In no event shall the public announcement of an adjournment of an annual meeting commence a new time period for the giving of a stockholder’s notice as described above. If mailed, such notice shall be deemed to be given when deposited in the United States mail, postage prepaid, directed to the stockholder at such stockholder’s address as it appears on the records of the corporation.</w:t>
      </w:r>
    </w:p>
    <w:p>
      <w:pPr>
        <w:spacing w:after="0" w:line="118" w:lineRule="exact"/>
        <w:rPr>
          <w:rFonts w:ascii="Times New Roman" w:cs="Times New Roman" w:eastAsia="Times New Roman" w:hAnsi="Times New Roman"/>
          <w:sz w:val="18"/>
          <w:szCs w:val="18"/>
          <w:color w:val="auto"/>
        </w:rPr>
      </w:pPr>
    </w:p>
    <w:p>
      <w:pPr>
        <w:ind w:left="440" w:right="40" w:hanging="432"/>
        <w:spacing w:after="0" w:line="255" w:lineRule="auto"/>
        <w:tabs>
          <w:tab w:leader="none" w:pos="41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Adjournments</w:t>
      </w:r>
      <w:r>
        <w:rPr>
          <w:rFonts w:ascii="Times New Roman" w:cs="Times New Roman" w:eastAsia="Times New Roman" w:hAnsi="Times New Roman"/>
          <w:sz w:val="18"/>
          <w:szCs w:val="18"/>
          <w:color w:val="auto"/>
        </w:rPr>
        <w:t>. Any meeting of stockholders, annual or special, may adjourn from time to time to reconvene at the same or some other place,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17" w:lineRule="exact"/>
        <w:rPr>
          <w:rFonts w:ascii="Times New Roman" w:cs="Times New Roman" w:eastAsia="Times New Roman" w:hAnsi="Times New Roman"/>
          <w:sz w:val="18"/>
          <w:szCs w:val="18"/>
          <w:color w:val="auto"/>
        </w:rPr>
      </w:pPr>
    </w:p>
    <w:p>
      <w:pPr>
        <w:ind w:left="440" w:hanging="432"/>
        <w:spacing w:after="0" w:line="255" w:lineRule="auto"/>
        <w:tabs>
          <w:tab w:leader="none" w:pos="41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Quorum</w:t>
      </w:r>
      <w:r>
        <w:rPr>
          <w:rFonts w:ascii="Times New Roman" w:cs="Times New Roman" w:eastAsia="Times New Roman" w:hAnsi="Times New Roman"/>
          <w:sz w:val="18"/>
          <w:szCs w:val="18"/>
          <w:color w:val="auto"/>
        </w:rPr>
        <w:t>. Except as otherwise provided by law, the certificate of incorporation or these bylaws, at each meeting of stockholders the presence in 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(including virtually) or by proxy of the holders of a majority in voting power of the outstanding shares of stock entitled to vote at the meeting shall be necessary and sufficient to constitute a quorum. In the absence of a quorum, the stockholders so present may, by a majority in voting power thereof, adjourn the meeting from time to time in the manner provided in Article I — Section 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foregoing shall not limit the right of the corporation or any subsidiary of the corporation to vote stock, including but not limited to its own stock, held by it in a fiduciary capacity.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294" w:name="page295"/>
    <w:bookmarkEnd w:id="294"/>
    <w:p>
      <w:pPr>
        <w:ind w:left="432" w:right="120" w:hanging="432"/>
        <w:spacing w:after="0" w:line="282" w:lineRule="auto"/>
        <w:tabs>
          <w:tab w:leader="none" w:pos="405"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Organization</w:t>
      </w:r>
      <w:r>
        <w:rPr>
          <w:rFonts w:ascii="Times New Roman" w:cs="Times New Roman" w:eastAsia="Times New Roman" w:hAnsi="Times New Roman"/>
          <w:sz w:val="17"/>
          <w:szCs w:val="17"/>
          <w:color w:val="auto"/>
        </w:rPr>
        <w:t>. Meetings of stockholders shall be presided over by the Chairman of the Board of Directors or, in his or her absence, by the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Officer or, in his or her absence, by the President or, in his or her absence, by a Vice President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80" w:lineRule="exact"/>
        <w:rPr>
          <w:rFonts w:ascii="Times New Roman" w:cs="Times New Roman" w:eastAsia="Times New Roman" w:hAnsi="Times New Roman"/>
          <w:sz w:val="17"/>
          <w:szCs w:val="17"/>
          <w:color w:val="auto"/>
        </w:rPr>
      </w:pPr>
    </w:p>
    <w:p>
      <w:pPr>
        <w:ind w:left="432" w:hanging="432"/>
        <w:spacing w:after="0" w:line="253" w:lineRule="auto"/>
        <w:tabs>
          <w:tab w:leader="none" w:pos="40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Voting; Proxies</w:t>
      </w:r>
      <w:r>
        <w:rPr>
          <w:rFonts w:ascii="Times New Roman" w:cs="Times New Roman" w:eastAsia="Times New Roman" w:hAnsi="Times New Roman"/>
          <w:sz w:val="18"/>
          <w:szCs w:val="18"/>
          <w:color w:val="auto"/>
        </w:rPr>
        <w:t>. Except as otherwise provided by or pursuant to the provisions of the certificate of incorporation, each stockholder entitled to vote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meeting of stockholders shall be entitled to one vote for each share of stock held by such stockholder which has voting power upon the matter in question.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At all meetings of stockholders for the election of directors at which a quorum is present a plurality of the votes cast shall be sufficient to elect. All other elections and questions presented to the stockholders at a meeting at which a quorum is present shall, unless otherwise provided by the certificate of incorporation, these bylaws, the rules or regulations of any stock exchange applicable to the corporation, or applicable law or pursuant to any regulation applicable to the corporation or its securities, be decided by the affirmative vote of the holders of a majority in voting power of the shares of stock of the corporation which are present in person or by proxy and entitled to vote thereon.</w:t>
      </w:r>
    </w:p>
    <w:p>
      <w:pPr>
        <w:spacing w:after="0" w:line="122"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Fixing Date for Determination of Stockholders of Record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32" w:firstLine="424"/>
        <w:spacing w:after="0" w:line="253" w:lineRule="auto"/>
        <w:tabs>
          <w:tab w:leader="none" w:pos="934"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08" w:lineRule="exact"/>
        <w:rPr>
          <w:rFonts w:ascii="Times New Roman" w:cs="Times New Roman" w:eastAsia="Times New Roman" w:hAnsi="Times New Roman"/>
          <w:sz w:val="18"/>
          <w:szCs w:val="18"/>
          <w:color w:val="auto"/>
        </w:rPr>
      </w:pPr>
    </w:p>
    <w:p>
      <w:pPr>
        <w:ind w:left="332" w:right="20" w:firstLine="424"/>
        <w:spacing w:after="0" w:line="258" w:lineRule="auto"/>
        <w:tabs>
          <w:tab w:leader="none" w:pos="944"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such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spacing w:after="0" w:line="25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617" w:right="359" w:bottom="1440" w:gutter="0" w:footer="0" w:header="0"/>
        </w:sectPr>
      </w:pPr>
    </w:p>
    <w:bookmarkStart w:id="295" w:name="page296"/>
    <w:bookmarkEnd w:id="295"/>
    <w:p>
      <w:pPr>
        <w:ind w:left="432" w:hanging="432"/>
        <w:spacing w:after="0" w:line="253" w:lineRule="auto"/>
        <w:tabs>
          <w:tab w:leader="none" w:pos="40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List of Stockholders Entitled to Vote</w:t>
      </w:r>
      <w:r>
        <w:rPr>
          <w:rFonts w:ascii="Times New Roman" w:cs="Times New Roman" w:eastAsia="Times New Roman" w:hAnsi="Times New Roman"/>
          <w:sz w:val="18"/>
          <w:szCs w:val="18"/>
          <w:color w:val="auto"/>
        </w:rPr>
        <w:t>. The Secretary shall prepare and make, at least ten (10) days before every meeting of stockholders, a complete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list of the stockholders entitled to vote at the meeting (provided, however,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(i) on a reasonably accessible electronic network, provided that the information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Article I — Section 9 or to vote in person or by proxy at any meeting of stockholders.</w:t>
      </w:r>
    </w:p>
    <w:p>
      <w:pPr>
        <w:spacing w:after="0" w:line="106" w:lineRule="exact"/>
        <w:rPr>
          <w:rFonts w:ascii="Times New Roman" w:cs="Times New Roman" w:eastAsia="Times New Roman" w:hAnsi="Times New Roman"/>
          <w:sz w:val="18"/>
          <w:szCs w:val="18"/>
          <w:color w:val="auto"/>
        </w:rPr>
      </w:pPr>
    </w:p>
    <w:p>
      <w:pPr>
        <w:ind w:left="432" w:right="140" w:hanging="432"/>
        <w:spacing w:after="0" w:line="268" w:lineRule="auto"/>
        <w:tabs>
          <w:tab w:leader="none" w:pos="4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Action by Written Consent of Stockholders</w:t>
      </w:r>
      <w:r>
        <w:rPr>
          <w:rFonts w:ascii="Times New Roman" w:cs="Times New Roman" w:eastAsia="Times New Roman" w:hAnsi="Times New Roman"/>
          <w:sz w:val="18"/>
          <w:szCs w:val="18"/>
          <w:color w:val="auto"/>
        </w:rPr>
        <w:t>. Unless otherwise provided by the certificate of incorporation, any action required or permitted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taken by the stockholders of the corporation must be effected at a duly held meeting of stockholders of the corporation at which a quorum is present or represented and may not be effected by any consent in writing by such stockholders.</w:t>
      </w:r>
    </w:p>
    <w:p>
      <w:pPr>
        <w:spacing w:after="0" w:line="103" w:lineRule="exact"/>
        <w:rPr>
          <w:rFonts w:ascii="Times New Roman" w:cs="Times New Roman" w:eastAsia="Times New Roman" w:hAnsi="Times New Roman"/>
          <w:sz w:val="18"/>
          <w:szCs w:val="18"/>
          <w:color w:val="auto"/>
        </w:rPr>
      </w:pPr>
    </w:p>
    <w:p>
      <w:pPr>
        <w:ind w:left="432" w:hanging="432"/>
        <w:spacing w:after="0" w:line="253" w:lineRule="auto"/>
        <w:tabs>
          <w:tab w:leader="none" w:pos="39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Inspectors of Election</w:t>
      </w:r>
      <w:r>
        <w:rPr>
          <w:rFonts w:ascii="Times New Roman" w:cs="Times New Roman" w:eastAsia="Times New Roman" w:hAnsi="Times New Roman"/>
          <w:sz w:val="18"/>
          <w:szCs w:val="18"/>
          <w:color w:val="auto"/>
        </w:rPr>
        <w:t>. The corporation shall, in advance of any meeting of stockholders, appoint one or more inspectors of election, who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19" w:lineRule="exact"/>
        <w:rPr>
          <w:rFonts w:ascii="Times New Roman" w:cs="Times New Roman" w:eastAsia="Times New Roman" w:hAnsi="Times New Roman"/>
          <w:sz w:val="18"/>
          <w:szCs w:val="18"/>
          <w:color w:val="auto"/>
        </w:rPr>
      </w:pPr>
    </w:p>
    <w:p>
      <w:pPr>
        <w:ind w:left="432" w:hanging="432"/>
        <w:spacing w:after="0" w:line="252" w:lineRule="auto"/>
        <w:tabs>
          <w:tab w:leader="none" w:pos="40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Conduct of Meetings</w:t>
      </w:r>
      <w:r>
        <w:rPr>
          <w:rFonts w:ascii="Times New Roman" w:cs="Times New Roman" w:eastAsia="Times New Roman" w:hAnsi="Times New Roman"/>
          <w:sz w:val="18"/>
          <w:szCs w:val="18"/>
          <w:color w:val="auto"/>
        </w:rPr>
        <w:t>. The date and time of the opening and the closing of the polls for each matter upon which the stockholders will vote 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617" w:right="359" w:bottom="1440" w:gutter="0" w:footer="0" w:header="0"/>
        </w:sectPr>
      </w:pPr>
    </w:p>
    <w:bookmarkStart w:id="296" w:name="page297"/>
    <w:bookmarkEnd w:id="296"/>
    <w:p>
      <w:pPr>
        <w:ind w:left="752" w:right="7200" w:hanging="752"/>
        <w:spacing w:after="0" w:line="417" w:lineRule="auto"/>
        <w:tabs>
          <w:tab w:leader="none" w:pos="31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 of Stockholder Business and Nominations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ind w:left="332" w:right="40" w:firstLine="1288"/>
        <w:spacing w:after="0" w:line="258" w:lineRule="auto"/>
        <w:tabs>
          <w:tab w:leader="none" w:pos="1768" w:val="left"/>
        </w:tabs>
        <w:numPr>
          <w:ilvl w:val="3"/>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of the corporation and the proposal of other business to be considered by the stockholders may be made at an annual meeting of stockholders only (a) pursuant to the corporation’s notice of meeting (or any supplement thereto), (b) by or at the direction of the Board of Directors or any committee thereof or (c) by any stockholder of the corporation who was a stockholder of record of the corporation at the time the notice provided for in this Article I — Section 13 is timely delivered to the Secretary of the corporation, who is entitled to vote at the meeting and who complies with the notice procedures set forth in this Article I — Section 13.</w:t>
      </w:r>
    </w:p>
    <w:p>
      <w:pPr>
        <w:spacing w:after="0" w:line="115" w:lineRule="exact"/>
        <w:rPr>
          <w:rFonts w:ascii="Times New Roman" w:cs="Times New Roman" w:eastAsia="Times New Roman" w:hAnsi="Times New Roman"/>
          <w:sz w:val="18"/>
          <w:szCs w:val="18"/>
          <w:color w:val="auto"/>
        </w:rPr>
      </w:pPr>
    </w:p>
    <w:p>
      <w:pPr>
        <w:ind w:left="332" w:firstLine="1288"/>
        <w:spacing w:after="0" w:line="261" w:lineRule="auto"/>
        <w:tabs>
          <w:tab w:leader="none" w:pos="1818" w:val="left"/>
        </w:tabs>
        <w:numPr>
          <w:ilvl w:val="3"/>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nominations or other business to be properly brought before an annual meeting by a stockholder pursuant to clause (c) of paragraph (a)(i) of this Article I — Section 13, the stockholder must have given timely notice thereof in writing to the Secretary of the corporation and any such proposed business (other than the nominations of persons for election to the Board of Directors) must constitute a proper matter for stockholder action. To be timely, a stockholder’s notice shall be delivered to the Secretary at the principal executive offices of the corporation not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day, nor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day, prior to the first anniversary of the preceding year’s annual meeting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in the event that no annual meeting was held in the previous year, the date of the annual meeting is more than thirty (30) days before or more than seventy (70) days after such anniversary date, notice by the stockholder must be so delivered not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day prior to such annual meeting and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day prior to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and the rules and regulations promulgated thereunder, and (ii)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w:t>
      </w:r>
    </w:p>
    <w:p>
      <w:pPr>
        <w:spacing w:after="0" w:line="14" w:lineRule="exact"/>
        <w:rPr>
          <w:rFonts w:ascii="Times New Roman" w:cs="Times New Roman" w:eastAsia="Times New Roman" w:hAnsi="Times New Roman"/>
          <w:sz w:val="17"/>
          <w:szCs w:val="17"/>
          <w:color w:val="auto"/>
        </w:rPr>
      </w:pPr>
    </w:p>
    <w:p>
      <w:pPr>
        <w:ind w:left="332" w:right="40" w:hanging="8"/>
        <w:spacing w:after="0" w:line="251" w:lineRule="auto"/>
        <w:tabs>
          <w:tab w:leader="none" w:pos="54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the corporation’s books, and of such beneficial owner, (ii) the class or series and number of shares of capital stock of the corporation which are owned beneficially and of record by such stockholder and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w:t>
      </w:r>
    </w:p>
    <w:p>
      <w:pPr>
        <w:spacing w:after="0" w:line="200" w:lineRule="exact"/>
        <w:rPr>
          <w:sz w:val="20"/>
          <w:szCs w:val="20"/>
          <w:color w:val="auto"/>
        </w:rPr>
      </w:pPr>
    </w:p>
    <w:p>
      <w:pPr>
        <w:spacing w:after="0" w:line="26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617" w:right="359" w:bottom="1440" w:gutter="0" w:footer="0" w:header="0"/>
        </w:sectPr>
      </w:pPr>
    </w:p>
    <w:bookmarkStart w:id="297" w:name="page298"/>
    <w:bookmarkEnd w:id="297"/>
    <w:p>
      <w:pPr>
        <w:spacing w:after="0" w:line="252" w:lineRule="auto"/>
        <w:rPr>
          <w:sz w:val="20"/>
          <w:szCs w:val="20"/>
          <w:color w:val="auto"/>
        </w:rPr>
      </w:pPr>
      <w:r>
        <w:rPr>
          <w:rFonts w:ascii="Times New Roman" w:cs="Times New Roman" w:eastAsia="Times New Roman" w:hAnsi="Times New Roman"/>
          <w:sz w:val="18"/>
          <w:szCs w:val="18"/>
          <w:color w:val="auto"/>
        </w:rPr>
        <w:t>risk or benefit of share price changes for, or increase or decrease the voting power of, such stockholder or such beneficial owner, with respect to securities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or votes from stockholders in support of such proposal or nomination, and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The foregoing notice requirements of this Article I — Section 13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The corporation may require any proposed nominee to furnish such other information as the corporation may reasonably require to determine the eligibility of such proposed nominee to serve as a director of the corporation.</w:t>
      </w:r>
    </w:p>
    <w:p>
      <w:pPr>
        <w:spacing w:after="0" w:line="116" w:lineRule="exact"/>
        <w:rPr>
          <w:sz w:val="20"/>
          <w:szCs w:val="20"/>
          <w:color w:val="auto"/>
        </w:rPr>
      </w:pPr>
    </w:p>
    <w:p>
      <w:pPr>
        <w:ind w:right="100" w:firstLine="1288"/>
        <w:spacing w:after="0" w:line="259" w:lineRule="auto"/>
        <w:tabs>
          <w:tab w:leader="none" w:pos="153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second sentence of paragraph (a)(ii) of this Article I — Section 13 to the contrary, in the event that the number of directors to be elected to the Board of Directors of the corporation at the annual meeting is increased effective after the time period for which nominations would otherwise be due under paragraph (a)(ii) of this Article I — Section 13 and there is no public announcement by the corporation naming the nominees for the additional directorships at least one hundred (100) days prior to the first anniversary of the preceding year’s annual meeting, a stockholder’s notice required by this Article I — Section 13 shall also be considered timely, but only with respect to nominees for the additional directorships, if it shall be delivered to the Secretary at the principal executive offices of the corporation not later than the close of business on the tenth (10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73" w:lineRule="exact"/>
        <w:rPr>
          <w:rFonts w:ascii="Times New Roman" w:cs="Times New Roman" w:eastAsia="Times New Roman" w:hAnsi="Times New Roman"/>
          <w:sz w:val="18"/>
          <w:szCs w:val="18"/>
          <w:color w:val="auto"/>
        </w:rPr>
      </w:pPr>
    </w:p>
    <w:p>
      <w:pPr>
        <w:ind w:right="20" w:firstLine="424"/>
        <w:spacing w:after="0" w:line="249" w:lineRule="auto"/>
        <w:tabs>
          <w:tab w:leader="none" w:pos="61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Article I — Section 13 is delivered to the Secretary of the corporation, who is entitled to vote at the meeting and upon such election and who complies with the notice procedures set forth in this Article I — Section 13. In the event the Board of Directors elects to call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(a)(ii) of this Article I — Section 13 shall be delivered to the Secretary at the principal executive offices of the corporation not earlier than the close of business on the one hundred twentieth (120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day prior to such special meeting and not later than the close of business on the later of the ninetieth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day prior to such special meeting or the tenth (10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 The Board of Directors shall determine the time and place of such special meeting, which shall be held not less than thirty-five (35) nor more than one hundred twenty (120) days after the date of the receipt of the request.</w:t>
      </w:r>
    </w:p>
    <w:p>
      <w:pPr>
        <w:spacing w:after="0" w:line="200" w:lineRule="exact"/>
        <w:rPr>
          <w:sz w:val="20"/>
          <w:szCs w:val="20"/>
          <w:color w:val="auto"/>
        </w:rPr>
      </w:pPr>
    </w:p>
    <w:p>
      <w:pPr>
        <w:spacing w:after="0" w:line="26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660" w:top="621" w:right="359" w:bottom="1440" w:gutter="0" w:footer="0" w:header="0"/>
        </w:sectPr>
      </w:pPr>
    </w:p>
    <w:bookmarkStart w:id="298" w:name="page299"/>
    <w:bookmarkEnd w:id="298"/>
    <w:p>
      <w:pPr>
        <w:ind w:left="932" w:hanging="176"/>
        <w:spacing w:after="0"/>
        <w:tabs>
          <w:tab w:leader="none" w:pos="93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332" w:right="60" w:firstLine="1296"/>
        <w:spacing w:after="0" w:line="252" w:lineRule="auto"/>
        <w:rPr>
          <w:sz w:val="20"/>
          <w:szCs w:val="20"/>
          <w:color w:val="auto"/>
        </w:rPr>
      </w:pPr>
      <w:r>
        <w:rPr>
          <w:rFonts w:ascii="Times New Roman" w:cs="Times New Roman" w:eastAsia="Times New Roman" w:hAnsi="Times New Roman"/>
          <w:sz w:val="18"/>
          <w:szCs w:val="18"/>
          <w:color w:val="auto"/>
        </w:rPr>
        <w:t>i. Except as otherwise expressly provided in any applicable rule or regulation promulgated under the Exchange Act, only such persons who are nominated in accordance with the procedures set forth in this Article I — Section 13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Article I — Section 13. Except as otherwise provided by law, the chairman of the meeting shall have the power and duty (a) to determine whether a nomination or any business proposed to be brought before the meeting was made or proposed, as the case may be, in accordance with the procedures set forth in this Article I — Section 13 (including whether the stockholder or beneficial owner, if any, on whose behalf the nomination or proposal is made solicited (or is part of a group which solicited) or did not so solicit, as the case may be, proxies or votes in support of such stockholder’s nominee or proposal in compliance with such stockholder’s representation as required by clause (a)(ii)(c)(vi) of this Article I — Section 13) and (b) if any proposed nomination or business was not made or proposed in compliance with this Article I — Section 13, to declare that such nomination shall be disregarded or that such proposed business shall not be transacted. Notwithstanding the foregoing provisions of this Article I — Section 13,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Article I — Section 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4" w:lineRule="exact"/>
        <w:rPr>
          <w:sz w:val="20"/>
          <w:szCs w:val="20"/>
          <w:color w:val="auto"/>
        </w:rPr>
      </w:pPr>
    </w:p>
    <w:p>
      <w:pPr>
        <w:jc w:val="both"/>
        <w:ind w:left="332" w:right="120" w:firstLine="1288"/>
        <w:spacing w:after="0" w:line="266" w:lineRule="auto"/>
        <w:tabs>
          <w:tab w:leader="none" w:pos="181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I — Section 13, “public announcement” shall mean disclosure in a press release reported by the Dow Jones News Service, Associated Press or comparable national news service or in a document publicly filed by the corporation with the Securities and Exchange Commission (the “SEC”) pursuant to Section 13, 14 or 15(d) of the Exchange Act.</w:t>
      </w:r>
    </w:p>
    <w:p>
      <w:pPr>
        <w:spacing w:after="0" w:line="108" w:lineRule="exact"/>
        <w:rPr>
          <w:rFonts w:ascii="Times New Roman" w:cs="Times New Roman" w:eastAsia="Times New Roman" w:hAnsi="Times New Roman"/>
          <w:sz w:val="18"/>
          <w:szCs w:val="18"/>
          <w:color w:val="auto"/>
        </w:rPr>
      </w:pPr>
    </w:p>
    <w:p>
      <w:pPr>
        <w:ind w:left="332" w:right="20" w:firstLine="1288"/>
        <w:spacing w:after="0" w:line="261" w:lineRule="auto"/>
        <w:tabs>
          <w:tab w:leader="none" w:pos="186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1.13, a stockholder shall also comply with all applicable requirements of the Exchange Act and the rules and regulations promulgated thereunder with respect to the matters set forth in this Article I — Section</w:t>
      </w:r>
    </w:p>
    <w:p>
      <w:pPr>
        <w:ind w:left="332"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any references in these bylaws to the Exchange Act or the rules and regulations promulgated thereunder are not intended to and shall not limit any requirements applicable to nominations or proposals as to any other business to be considered pursuant to this Article I — Section ١٣ (including paragraphs (a)(i)(c) and (b) hereof), and compliance with paragraphs (a)(i)(c) and (b) of this Article I — Section 13 shall be the exclusive means for a stockholder to make nominations or submit other business (other than, as provided in the penultimate sentence of (a)(ii), business other than nominations brought properly under and in compliance with Rule 14a-8 of the Exchange Act, as may be amended from time to time). Nothing in this Article I — Section 13 shall be deemed to affect any rights (a) of stockholders to request inclusion of proposals or nominations in the corporation’s proxy statement pursuant to applicable rules and regulations promulgated under the Exchange Act or (b) of the holders of any series of Preferred Stock to elect directors pursuant to any applicable provisions of the certificate of incorporation or any certificate of designation.</w:t>
      </w:r>
    </w:p>
    <w:p>
      <w:pPr>
        <w:spacing w:after="0" w:line="10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35" w:lineRule="exact"/>
        <w:rPr>
          <w:sz w:val="20"/>
          <w:szCs w:val="20"/>
          <w:color w:val="auto"/>
        </w:rPr>
      </w:pPr>
    </w:p>
    <w:p>
      <w:pPr>
        <w:ind w:left="432" w:right="100" w:hanging="432"/>
        <w:spacing w:after="0" w:line="286" w:lineRule="auto"/>
        <w:tabs>
          <w:tab w:leader="none" w:pos="40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Number; Qualifications</w:t>
      </w:r>
      <w:r>
        <w:rPr>
          <w:rFonts w:ascii="Times New Roman" w:cs="Times New Roman" w:eastAsia="Times New Roman" w:hAnsi="Times New Roman"/>
          <w:sz w:val="18"/>
          <w:szCs w:val="18"/>
          <w:color w:val="auto"/>
        </w:rPr>
        <w:t>. Subject to the certificate of incorporation, the Board of Directors shall consist of one or more members, the number thereof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determined from time to time by resolution of the Board of Directors. Directors need not be stockholders.</w:t>
      </w:r>
    </w:p>
    <w:p>
      <w:pPr>
        <w:spacing w:after="0" w:line="87" w:lineRule="exact"/>
        <w:rPr>
          <w:rFonts w:ascii="Times New Roman" w:cs="Times New Roman" w:eastAsia="Times New Roman" w:hAnsi="Times New Roman"/>
          <w:sz w:val="18"/>
          <w:szCs w:val="18"/>
          <w:color w:val="auto"/>
        </w:rPr>
      </w:pPr>
    </w:p>
    <w:p>
      <w:pPr>
        <w:ind w:left="432" w:hanging="432"/>
        <w:spacing w:after="0" w:line="254" w:lineRule="auto"/>
        <w:tabs>
          <w:tab w:leader="none" w:pos="40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Election; Resignation; Vacancies</w:t>
      </w:r>
      <w:r>
        <w:rPr>
          <w:rFonts w:ascii="Times New Roman" w:cs="Times New Roman" w:eastAsia="Times New Roman" w:hAnsi="Times New Roman"/>
          <w:sz w:val="18"/>
          <w:szCs w:val="18"/>
          <w:color w:val="auto"/>
        </w:rPr>
        <w:t>. The Board of Directors shall initially consist of the persons named as directors in the certificate of incorporation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elected by the incorporator of the corporation, and each director so elected shall hold office until the first annual meeting of stockholders or until his or her successor is duly elected and qualified. At the first annual meeting of stockholders and at each annual meeting thereafter, the stockholders shall elect directors each of whom shall hold office for a term of one year or until his or her successor is duly elected and qualified, subject to such director’s earlier death, resignation, disqualification or removal. Any director may resign at any time upon notice to the corporation. Unless otherwise provided by law or the certificate of incorporation, any newly created directorship or any vacancy occurring in the Board of Directors for any cause may be filled only by a majority of the remaining members of the Board of Directors, although such majority is less than a quorum, and each director so elected shall hold office until the expiration of the term of office of the director whom he or she has replaced or until his or her successor is elected and qualified.</w:t>
      </w:r>
    </w:p>
    <w:p>
      <w:pPr>
        <w:spacing w:after="0" w:line="200" w:lineRule="exact"/>
        <w:rPr>
          <w:sz w:val="20"/>
          <w:szCs w:val="20"/>
          <w:color w:val="auto"/>
        </w:rPr>
      </w:pPr>
    </w:p>
    <w:p>
      <w:pPr>
        <w:spacing w:after="0" w:line="3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21" w:right="339" w:bottom="1440" w:gutter="0" w:footer="0" w:header="0"/>
        </w:sectPr>
      </w:pPr>
    </w:p>
    <w:bookmarkStart w:id="299" w:name="page300"/>
    <w:bookmarkEnd w:id="299"/>
    <w:p>
      <w:pPr>
        <w:ind w:left="432" w:right="140" w:hanging="432"/>
        <w:spacing w:after="0" w:line="286" w:lineRule="auto"/>
        <w:tabs>
          <w:tab w:leader="none" w:pos="40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Regular Meetings</w:t>
      </w:r>
      <w:r>
        <w:rPr>
          <w:rFonts w:ascii="Times New Roman" w:cs="Times New Roman" w:eastAsia="Times New Roman" w:hAnsi="Times New Roman"/>
          <w:sz w:val="18"/>
          <w:szCs w:val="18"/>
          <w:color w:val="auto"/>
        </w:rPr>
        <w:t>. Regular meetings of the Board of Directors may be held at such places within or without the State of Delaware and at such times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Board of Directors may from time to time determine.</w:t>
      </w:r>
    </w:p>
    <w:p>
      <w:pPr>
        <w:spacing w:after="0" w:line="73" w:lineRule="exact"/>
        <w:rPr>
          <w:rFonts w:ascii="Times New Roman" w:cs="Times New Roman" w:eastAsia="Times New Roman" w:hAnsi="Times New Roman"/>
          <w:sz w:val="18"/>
          <w:szCs w:val="18"/>
          <w:color w:val="auto"/>
        </w:rPr>
      </w:pPr>
    </w:p>
    <w:p>
      <w:pPr>
        <w:ind w:left="432" w:right="140" w:hanging="432"/>
        <w:spacing w:after="0" w:line="262" w:lineRule="auto"/>
        <w:tabs>
          <w:tab w:leader="none" w:pos="40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Special Meetings</w:t>
      </w:r>
      <w:r>
        <w:rPr>
          <w:rFonts w:ascii="Times New Roman" w:cs="Times New Roman" w:eastAsia="Times New Roman" w:hAnsi="Times New Roman"/>
          <w:sz w:val="18"/>
          <w:szCs w:val="18"/>
          <w:color w:val="auto"/>
        </w:rPr>
        <w:t>. Special meetings of the Board of Directors may be held at any time or place within or without the State of Delaware whenever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called by (i) the Board of Directors pursuant to a resolution adopted by a majority of the whole Board of Directors; (ii) the chairman of the Board of Directors; or (iii) the chief executive officer or president of the Corporation. Notice of a special meeting of the Board of Directors shall be given by the person or persons calling the meeting at least twenty-four hours before the special meeting.</w:t>
      </w:r>
    </w:p>
    <w:p>
      <w:pPr>
        <w:spacing w:after="0" w:line="108" w:lineRule="exact"/>
        <w:rPr>
          <w:rFonts w:ascii="Times New Roman" w:cs="Times New Roman" w:eastAsia="Times New Roman" w:hAnsi="Times New Roman"/>
          <w:sz w:val="18"/>
          <w:szCs w:val="18"/>
          <w:color w:val="auto"/>
        </w:rPr>
      </w:pPr>
    </w:p>
    <w:p>
      <w:pPr>
        <w:ind w:left="432" w:right="260" w:hanging="432"/>
        <w:spacing w:after="0" w:line="268" w:lineRule="auto"/>
        <w:tabs>
          <w:tab w:leader="none" w:pos="40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Telephonic Meetings Permitted</w:t>
      </w:r>
      <w:r>
        <w:rPr>
          <w:rFonts w:ascii="Times New Roman" w:cs="Times New Roman" w:eastAsia="Times New Roman" w:hAnsi="Times New Roman"/>
          <w:sz w:val="18"/>
          <w:szCs w:val="18"/>
          <w:color w:val="auto"/>
        </w:rPr>
        <w:t>. Members of the Board of Directors, or any committee designated by the Board of Directors, may participate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thereof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03" w:lineRule="exact"/>
        <w:rPr>
          <w:rFonts w:ascii="Times New Roman" w:cs="Times New Roman" w:eastAsia="Times New Roman" w:hAnsi="Times New Roman"/>
          <w:sz w:val="18"/>
          <w:szCs w:val="18"/>
          <w:color w:val="auto"/>
        </w:rPr>
      </w:pPr>
    </w:p>
    <w:p>
      <w:pPr>
        <w:ind w:left="432" w:right="80" w:hanging="432"/>
        <w:spacing w:after="0" w:line="262" w:lineRule="auto"/>
        <w:tabs>
          <w:tab w:leader="none" w:pos="40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Quorum; Vote Required for Action</w:t>
      </w:r>
      <w:r>
        <w:rPr>
          <w:rFonts w:ascii="Times New Roman" w:cs="Times New Roman" w:eastAsia="Times New Roman" w:hAnsi="Times New Roman"/>
          <w:sz w:val="18"/>
          <w:szCs w:val="18"/>
          <w:color w:val="auto"/>
        </w:rPr>
        <w:t>. At all meetings of the Board of Directors the directors entitled to cast a majority of the votes of the whole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shall constitute a quorum for the transaction of business. Except in cases in which the certificate of incorporation, these bylaws or applicable law otherwise provides, a majority of the votes entitled to be cast by the directors present at a meeting at which a quorum is present shall be the act of the Board of Directors.</w:t>
      </w:r>
    </w:p>
    <w:p>
      <w:pPr>
        <w:spacing w:after="0" w:line="95" w:lineRule="exact"/>
        <w:rPr>
          <w:rFonts w:ascii="Times New Roman" w:cs="Times New Roman" w:eastAsia="Times New Roman" w:hAnsi="Times New Roman"/>
          <w:sz w:val="18"/>
          <w:szCs w:val="18"/>
          <w:color w:val="auto"/>
        </w:rPr>
      </w:pPr>
    </w:p>
    <w:p>
      <w:pPr>
        <w:ind w:left="432" w:right="360" w:hanging="432"/>
        <w:spacing w:after="0" w:line="268" w:lineRule="auto"/>
        <w:tabs>
          <w:tab w:leader="none" w:pos="40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Organization</w:t>
      </w:r>
      <w:r>
        <w:rPr>
          <w:rFonts w:ascii="Times New Roman" w:cs="Times New Roman" w:eastAsia="Times New Roman" w:hAnsi="Times New Roman"/>
          <w:sz w:val="18"/>
          <w:szCs w:val="18"/>
          <w:color w:val="auto"/>
        </w:rPr>
        <w:t>. Meetings of the Board of Directors shall be presided over by the Chairman of the Board of Directors or, in his or her absence,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chosen at the meeting. The Secretary shall act as secretary of the meeting, but in his or her absence, the chairman of the meeting may appoint any person to act as secretary of the meeting.</w:t>
      </w:r>
    </w:p>
    <w:p>
      <w:pPr>
        <w:spacing w:after="0" w:line="103" w:lineRule="exact"/>
        <w:rPr>
          <w:rFonts w:ascii="Times New Roman" w:cs="Times New Roman" w:eastAsia="Times New Roman" w:hAnsi="Times New Roman"/>
          <w:sz w:val="18"/>
          <w:szCs w:val="18"/>
          <w:color w:val="auto"/>
        </w:rPr>
      </w:pPr>
    </w:p>
    <w:p>
      <w:pPr>
        <w:ind w:left="432" w:right="280" w:hanging="432"/>
        <w:spacing w:after="0" w:line="262" w:lineRule="auto"/>
        <w:tabs>
          <w:tab w:leader="none" w:pos="40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Action by Unanimous Consent of Directors</w:t>
      </w:r>
      <w:r>
        <w:rPr>
          <w:rFonts w:ascii="Times New Roman" w:cs="Times New Roman" w:eastAsia="Times New Roman" w:hAnsi="Times New Roman"/>
          <w:sz w:val="18"/>
          <w:szCs w:val="18"/>
          <w:color w:val="auto"/>
        </w:rPr>
        <w:t>. Unless otherwise restricted by the certificate of incorporation or these bylaws, any action required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or committee in accordance with applicable law.</w:t>
      </w:r>
    </w:p>
    <w:p>
      <w:pPr>
        <w:spacing w:after="0" w:line="10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122" w:lineRule="exact"/>
        <w:rPr>
          <w:sz w:val="20"/>
          <w:szCs w:val="20"/>
          <w:color w:val="auto"/>
        </w:rPr>
      </w:pPr>
    </w:p>
    <w:p>
      <w:pPr>
        <w:ind w:left="432" w:hanging="432"/>
        <w:spacing w:after="0" w:line="254" w:lineRule="auto"/>
        <w:tabs>
          <w:tab w:leader="none" w:pos="40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To the extent that the composition of any committee is subject to rules or requirements of any national securities exchange on which the corporation’s securities are listed, the Board of Directors shall appoint committee members in a manner that is compliant with all such rules or regulations.</w:t>
      </w:r>
    </w:p>
    <w:p>
      <w:pPr>
        <w:spacing w:after="0" w:line="200" w:lineRule="exact"/>
        <w:rPr>
          <w:sz w:val="20"/>
          <w:szCs w:val="20"/>
          <w:color w:val="auto"/>
        </w:rPr>
      </w:pPr>
    </w:p>
    <w:p>
      <w:pPr>
        <w:spacing w:after="0" w:line="25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17" w:right="339" w:bottom="1440" w:gutter="0" w:footer="0" w:header="0"/>
        </w:sectPr>
      </w:pPr>
    </w:p>
    <w:bookmarkStart w:id="300" w:name="page301"/>
    <w:bookmarkEnd w:id="300"/>
    <w:p>
      <w:pPr>
        <w:ind w:left="432" w:hanging="432"/>
        <w:spacing w:after="0" w:line="268" w:lineRule="auto"/>
        <w:tabs>
          <w:tab w:leader="none" w:pos="40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Committee Rules</w:t>
      </w:r>
      <w:r>
        <w:rPr>
          <w:rFonts w:ascii="Times New Roman" w:cs="Times New Roman" w:eastAsia="Times New Roman" w:hAnsi="Times New Roman"/>
          <w:sz w:val="18"/>
          <w:szCs w:val="18"/>
          <w:color w:val="auto"/>
        </w:rPr>
        <w:t>. Unless the Board of Directors otherwise provides, each committee designated by the Board of Directors may make, alter and repeal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rules for the conduct of its business. In the absence of such rules each committee shall conduct its business in the same manner as the Board of Directors conducts its business pursuant to Article II of these bylaws.</w:t>
      </w:r>
    </w:p>
    <w:p>
      <w:pPr>
        <w:spacing w:after="0" w:line="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135" w:lineRule="exact"/>
        <w:rPr>
          <w:sz w:val="20"/>
          <w:szCs w:val="20"/>
          <w:color w:val="auto"/>
        </w:rPr>
      </w:pPr>
    </w:p>
    <w:p>
      <w:pPr>
        <w:ind w:left="432" w:right="20" w:hanging="432"/>
        <w:spacing w:after="0" w:line="255" w:lineRule="auto"/>
        <w:tabs>
          <w:tab w:leader="none" w:pos="40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Officers</w:t>
      </w:r>
      <w:r>
        <w:rPr>
          <w:rFonts w:ascii="Times New Roman" w:cs="Times New Roman" w:eastAsia="Times New Roman" w:hAnsi="Times New Roman"/>
          <w:sz w:val="18"/>
          <w:szCs w:val="18"/>
          <w:color w:val="auto"/>
        </w:rPr>
        <w:t>. The officers of the corporation shall consist of a Chairman of the Board of Directors, a Chief Executive Officer, a Chief Financial Officer,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one or more Vice Presidents, a Secretary, a Treasurer, a Controller and such other officers as the Board of Directors may from time to time determine, each of whom shall be elected by the Board of Directors, each to have such authority, functions or duties as set forth in these bylaws or as determined by the Board of Directors. Each officer shall be chosen by the Board of Directors and shall hold office for such term as may be prescribed by the Board of Directors and until such person’s successor shall have been duly chosen and qualified, or until such person’s earlier death, disqualification, resignation or removal. The Board of Directors may elect or appoint co-Chairmen of the Board, co-Presidents or co-Chief Executive Officers and, in such case, references in these bylaws to the Chairman of the Board, the President or the Chief Executive Officer shall refer to either such co-Chairman of the Board, co-President or co-Chief Executive Officer, as the case may be.</w:t>
      </w:r>
    </w:p>
    <w:p>
      <w:pPr>
        <w:spacing w:after="0" w:line="117" w:lineRule="exact"/>
        <w:rPr>
          <w:rFonts w:ascii="Times New Roman" w:cs="Times New Roman" w:eastAsia="Times New Roman" w:hAnsi="Times New Roman"/>
          <w:sz w:val="18"/>
          <w:szCs w:val="18"/>
          <w:color w:val="auto"/>
        </w:rPr>
      </w:pPr>
    </w:p>
    <w:p>
      <w:pPr>
        <w:ind w:left="432" w:right="40" w:hanging="432"/>
        <w:spacing w:after="0" w:line="259" w:lineRule="auto"/>
        <w:tabs>
          <w:tab w:leader="none" w:pos="40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Removal, Resignation and Vacancies</w:t>
      </w:r>
      <w:r>
        <w:rPr>
          <w:rFonts w:ascii="Times New Roman" w:cs="Times New Roman" w:eastAsia="Times New Roman" w:hAnsi="Times New Roman"/>
          <w:sz w:val="18"/>
          <w:szCs w:val="18"/>
          <w:color w:val="auto"/>
        </w:rPr>
        <w:t>. Any officer of the corporation may be removed, with or without cause, by the Board of Directors,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prejudice to the rights, if any, of such officer under any contract to which it is a party. Any officer may resign at any time upon written notice to the corporation, without prejudice to the rights, if any, of the corporation under any contract to which such officer is a party. If any vacancy occurs in any office of the corporation, the Board of Directors may elect a successor to fill such vacancy for the remainder of the unexpired term and until a successor shall have been duly chosen and qualified.</w:t>
      </w:r>
    </w:p>
    <w:p>
      <w:pPr>
        <w:spacing w:after="0" w:line="98" w:lineRule="exact"/>
        <w:rPr>
          <w:rFonts w:ascii="Times New Roman" w:cs="Times New Roman" w:eastAsia="Times New Roman" w:hAnsi="Times New Roman"/>
          <w:sz w:val="18"/>
          <w:szCs w:val="18"/>
          <w:color w:val="auto"/>
        </w:rPr>
      </w:pPr>
    </w:p>
    <w:p>
      <w:pPr>
        <w:ind w:left="432" w:right="120" w:hanging="432"/>
        <w:spacing w:after="0" w:line="286" w:lineRule="auto"/>
        <w:tabs>
          <w:tab w:leader="none" w:pos="40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Chairman of the Board of Directors</w:t>
      </w:r>
      <w:r>
        <w:rPr>
          <w:rFonts w:ascii="Times New Roman" w:cs="Times New Roman" w:eastAsia="Times New Roman" w:hAnsi="Times New Roman"/>
          <w:sz w:val="18"/>
          <w:szCs w:val="18"/>
          <w:color w:val="auto"/>
        </w:rPr>
        <w:t>. The Chairman of the Board of Directors shall be deemed an officer of the corporation, subject to the control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of Directors, and shall report directly to the Board of Directors.</w:t>
      </w:r>
    </w:p>
    <w:p>
      <w:pPr>
        <w:spacing w:after="0" w:line="87" w:lineRule="exact"/>
        <w:rPr>
          <w:rFonts w:ascii="Times New Roman" w:cs="Times New Roman" w:eastAsia="Times New Roman" w:hAnsi="Times New Roman"/>
          <w:sz w:val="18"/>
          <w:szCs w:val="18"/>
          <w:color w:val="auto"/>
        </w:rPr>
      </w:pPr>
    </w:p>
    <w:p>
      <w:pPr>
        <w:ind w:left="432" w:right="40" w:hanging="432"/>
        <w:spacing w:after="0" w:line="259" w:lineRule="auto"/>
        <w:tabs>
          <w:tab w:leader="none" w:pos="40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Chief Executive Officer</w:t>
      </w:r>
      <w:r>
        <w:rPr>
          <w:rFonts w:ascii="Times New Roman" w:cs="Times New Roman" w:eastAsia="Times New Roman" w:hAnsi="Times New Roman"/>
          <w:sz w:val="18"/>
          <w:szCs w:val="18"/>
          <w:color w:val="auto"/>
        </w:rPr>
        <w:t>. The Chief Executive Officer shall have general supervision and direction of the business and affairs of the corporation,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responsible for corporate policy and strategy, and shall report directly to the Chairman of the Board of Directors. Unless otherwise provided in these bylaws, all other officers of the corporation shall report directly to the Chief Executive Officer or as otherwise determined by the Chief Executive Officer. The Chief Executive Officer shall, if present and in the absence of the Chairman of the Board of Directors, preside at meetings of the stockholders and of the Board of Directors. The Chief Executive Officer may also be the Chairman.</w:t>
      </w:r>
    </w:p>
    <w:p>
      <w:pPr>
        <w:spacing w:after="0" w:line="111" w:lineRule="exact"/>
        <w:rPr>
          <w:rFonts w:ascii="Times New Roman" w:cs="Times New Roman" w:eastAsia="Times New Roman" w:hAnsi="Times New Roman"/>
          <w:sz w:val="18"/>
          <w:szCs w:val="18"/>
          <w:color w:val="auto"/>
        </w:rPr>
      </w:pPr>
    </w:p>
    <w:p>
      <w:pPr>
        <w:ind w:left="432" w:right="20" w:hanging="432"/>
        <w:spacing w:after="0" w:line="262" w:lineRule="auto"/>
        <w:tabs>
          <w:tab w:leader="none" w:pos="40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Chief Financial Officer</w:t>
      </w:r>
      <w:r>
        <w:rPr>
          <w:rFonts w:ascii="Times New Roman" w:cs="Times New Roman" w:eastAsia="Times New Roman" w:hAnsi="Times New Roman"/>
          <w:sz w:val="18"/>
          <w:szCs w:val="18"/>
          <w:color w:val="auto"/>
        </w:rPr>
        <w:t>. The Chief Financial Officer shall exercise all the powers and perform the duties of the office of the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 general have overall supervision of the financial operations of the corporation. The Chief Financial Officer shall, when requested, counsel with and advise the other officers of the corporation and shall perform such other duties as such officer may agree with the Chief Executive Officer or as the Board of Directors may from time to time determine.</w:t>
      </w:r>
    </w:p>
    <w:p>
      <w:pPr>
        <w:spacing w:after="0" w:line="95" w:lineRule="exact"/>
        <w:rPr>
          <w:rFonts w:ascii="Times New Roman" w:cs="Times New Roman" w:eastAsia="Times New Roman" w:hAnsi="Times New Roman"/>
          <w:sz w:val="18"/>
          <w:szCs w:val="18"/>
          <w:color w:val="auto"/>
        </w:rPr>
      </w:pPr>
    </w:p>
    <w:p>
      <w:pPr>
        <w:ind w:left="432" w:right="20" w:hanging="432"/>
        <w:spacing w:after="0" w:line="259" w:lineRule="auto"/>
        <w:tabs>
          <w:tab w:leader="none" w:pos="40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President</w:t>
      </w:r>
      <w:r>
        <w:rPr>
          <w:rFonts w:ascii="Times New Roman" w:cs="Times New Roman" w:eastAsia="Times New Roman" w:hAnsi="Times New Roman"/>
          <w:sz w:val="18"/>
          <w:szCs w:val="18"/>
          <w:color w:val="auto"/>
        </w:rPr>
        <w:t>. The President shall be the chief operating officer of the corporation, with general responsibility for the management and control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of the corporation. The President shall have the power to affix the signature of the corporation to all contracts that have been authorized by the Board of Directors or the Chief Executive Officer. The President shall, when requested, counsel with and advise the other officers of the corporation and shall perform such other duties as such officer may agree with the Chief Executive Officer or as the Board of Directors may from time to time determine.</w:t>
      </w:r>
    </w:p>
    <w:p>
      <w:pPr>
        <w:spacing w:after="0" w:line="111" w:lineRule="exact"/>
        <w:rPr>
          <w:rFonts w:ascii="Times New Roman" w:cs="Times New Roman" w:eastAsia="Times New Roman" w:hAnsi="Times New Roman"/>
          <w:sz w:val="18"/>
          <w:szCs w:val="18"/>
          <w:color w:val="auto"/>
        </w:rPr>
      </w:pPr>
    </w:p>
    <w:p>
      <w:pPr>
        <w:ind w:left="432" w:right="60" w:hanging="432"/>
        <w:spacing w:after="0" w:line="291" w:lineRule="auto"/>
        <w:tabs>
          <w:tab w:leader="none" w:pos="405"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Vice Presidents</w:t>
      </w:r>
      <w:r>
        <w:rPr>
          <w:rFonts w:ascii="Times New Roman" w:cs="Times New Roman" w:eastAsia="Times New Roman" w:hAnsi="Times New Roman"/>
          <w:sz w:val="17"/>
          <w:szCs w:val="17"/>
          <w:color w:val="auto"/>
        </w:rPr>
        <w:t>. Each Vice President shall have such powers and duties as shall be prescribed by his or her superior officer or the Chief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A Vice President shall, when requested, counsel with and advise the other officers of the corporation and shall perform such other duties as such officer may agree with the his or her superior officer, the Chief Executive Officer or as the Board of Directors may from time to time determine.</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17" w:right="339" w:bottom="1440" w:gutter="0" w:footer="0" w:header="0"/>
        </w:sectPr>
      </w:pPr>
    </w:p>
    <w:bookmarkStart w:id="301" w:name="page302"/>
    <w:bookmarkEnd w:id="301"/>
    <w:p>
      <w:pPr>
        <w:ind w:left="432" w:right="160" w:hanging="432"/>
        <w:spacing w:after="0" w:line="257" w:lineRule="auto"/>
        <w:tabs>
          <w:tab w:leader="none" w:pos="40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Treasurer</w:t>
      </w:r>
      <w:r>
        <w:rPr>
          <w:rFonts w:ascii="Times New Roman" w:cs="Times New Roman" w:eastAsia="Times New Roman" w:hAnsi="Times New Roman"/>
          <w:sz w:val="18"/>
          <w:szCs w:val="18"/>
          <w:color w:val="auto"/>
        </w:rPr>
        <w:t>. The Treasurer shall supervise and be responsible for all the funds and securities of the corporation, the deposit of all moneys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such officer may agree with the Chief Executive Officer or as the Board of Directors may from time to time determine.</w:t>
      </w:r>
    </w:p>
    <w:p>
      <w:pPr>
        <w:spacing w:after="0" w:line="101" w:lineRule="exact"/>
        <w:rPr>
          <w:rFonts w:ascii="Times New Roman" w:cs="Times New Roman" w:eastAsia="Times New Roman" w:hAnsi="Times New Roman"/>
          <w:sz w:val="18"/>
          <w:szCs w:val="18"/>
          <w:color w:val="auto"/>
        </w:rPr>
      </w:pPr>
    </w:p>
    <w:p>
      <w:pPr>
        <w:ind w:left="432" w:hanging="432"/>
        <w:spacing w:after="0" w:line="268" w:lineRule="auto"/>
        <w:tabs>
          <w:tab w:leader="none" w:pos="40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Controller</w:t>
      </w:r>
      <w:r>
        <w:rPr>
          <w:rFonts w:ascii="Times New Roman" w:cs="Times New Roman" w:eastAsia="Times New Roman" w:hAnsi="Times New Roman"/>
          <w:sz w:val="18"/>
          <w:szCs w:val="18"/>
          <w:color w:val="auto"/>
        </w:rPr>
        <w:t>. The Controller shall be the chief accounting officer of the corporation. The Controller shall, when requested, counsel with any advice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officers of the corporation and shall perform such other duties as such officer may agree with the Chief Executive Officer or the Chief Financial Officer or as the Board of Directors may from time to time determine.</w:t>
      </w:r>
    </w:p>
    <w:p>
      <w:pPr>
        <w:spacing w:after="0" w:line="103" w:lineRule="exact"/>
        <w:rPr>
          <w:rFonts w:ascii="Times New Roman" w:cs="Times New Roman" w:eastAsia="Times New Roman" w:hAnsi="Times New Roman"/>
          <w:sz w:val="18"/>
          <w:szCs w:val="18"/>
          <w:color w:val="auto"/>
        </w:rPr>
      </w:pPr>
    </w:p>
    <w:p>
      <w:pPr>
        <w:ind w:left="432" w:right="60" w:hanging="432"/>
        <w:spacing w:after="0" w:line="272" w:lineRule="auto"/>
        <w:tabs>
          <w:tab w:leader="none" w:pos="40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Secretary</w:t>
      </w:r>
      <w:r>
        <w:rPr>
          <w:rFonts w:ascii="Times New Roman" w:cs="Times New Roman" w:eastAsia="Times New Roman" w:hAnsi="Times New Roman"/>
          <w:sz w:val="17"/>
          <w:szCs w:val="17"/>
          <w:color w:val="auto"/>
        </w:rPr>
        <w:t>. The powers and duties of the Secretary are: (i) to act as Secretary at all meetings of the Board of Directors, of the committees of the Board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Directors and of the stockholders and to record the proceedings of such meetings in a book or books to be kept for that purpose; (ii) to see that all notices required to be given by the corporation are duly given and served; (iii) to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to have charge of the books, records and papers of the corporation and see that the reports, statements and other documents required by law to be kept and filed are properly kept and filed; and (v) to perform all of the duties incident to the office of Secretary. The Secretary shall, when requested, counsel with and advise the other officers of the corporation and shall perform such other duties as such officer may agree with the Chief Executive Officer or as the Board of Directors may from time to time determine.</w:t>
      </w:r>
    </w:p>
    <w:p>
      <w:pPr>
        <w:spacing w:after="0" w:line="104" w:lineRule="exact"/>
        <w:rPr>
          <w:rFonts w:ascii="Times New Roman" w:cs="Times New Roman" w:eastAsia="Times New Roman" w:hAnsi="Times New Roman"/>
          <w:sz w:val="17"/>
          <w:szCs w:val="17"/>
          <w:color w:val="auto"/>
        </w:rPr>
      </w:pPr>
    </w:p>
    <w:p>
      <w:pPr>
        <w:ind w:left="432" w:right="20" w:hanging="432"/>
        <w:spacing w:after="0" w:line="262" w:lineRule="auto"/>
        <w:tabs>
          <w:tab w:leader="none" w:pos="39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Additional Matters</w:t>
      </w:r>
      <w:r>
        <w:rPr>
          <w:rFonts w:ascii="Times New Roman" w:cs="Times New Roman" w:eastAsia="Times New Roman" w:hAnsi="Times New Roman"/>
          <w:sz w:val="18"/>
          <w:szCs w:val="18"/>
          <w:color w:val="auto"/>
        </w:rPr>
        <w:t>. The Chief Executive Officer and the Chief Financial Officer of the corporation shall have the authority to designate employees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corporation to have the title of Executive Vice President, Senior Vice President, Vice President, Assistant Vice President, Assistant Treasurer or Assistant Secretary. Any employee so designated shall have the powers and duties determined by the officer making such designation. The persons upon whom such titles are conferred shall not be deemed officers of the corporation unless elected by the Board of Directors.</w:t>
      </w:r>
    </w:p>
    <w:p>
      <w:pPr>
        <w:spacing w:after="0" w:line="9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135" w:lineRule="exact"/>
        <w:rPr>
          <w:sz w:val="20"/>
          <w:szCs w:val="20"/>
          <w:color w:val="auto"/>
        </w:rPr>
      </w:pPr>
    </w:p>
    <w:p>
      <w:pPr>
        <w:ind w:left="432" w:right="100" w:hanging="432"/>
        <w:spacing w:after="0" w:line="254" w:lineRule="auto"/>
        <w:tabs>
          <w:tab w:leader="none" w:pos="40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Certificates</w:t>
      </w:r>
      <w:r>
        <w:rPr>
          <w:rFonts w:ascii="Times New Roman" w:cs="Times New Roman" w:eastAsia="Times New Roman" w:hAnsi="Times New Roman"/>
          <w:sz w:val="18"/>
          <w:szCs w:val="18"/>
          <w:color w:val="auto"/>
        </w:rPr>
        <w:t>. The shares of the corporation shall be represented by certificates (which may be electronically recorded in book entry format),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of the Board of Directors or the President or a Vice President, and by the Treasurer or an Assistant Treasurer, or the Secretary or an Assistant Secretary, of the corporation certifying the number of shares owned by such 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20" w:lineRule="exact"/>
        <w:rPr>
          <w:rFonts w:ascii="Times New Roman" w:cs="Times New Roman" w:eastAsia="Times New Roman" w:hAnsi="Times New Roman"/>
          <w:sz w:val="18"/>
          <w:szCs w:val="18"/>
          <w:color w:val="auto"/>
        </w:rPr>
      </w:pPr>
    </w:p>
    <w:p>
      <w:pPr>
        <w:ind w:left="432" w:right="120" w:hanging="432"/>
        <w:spacing w:after="0" w:line="262" w:lineRule="auto"/>
        <w:tabs>
          <w:tab w:leader="none" w:pos="40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Lost, Stolen or Destroyed Stock Certificates; Issuance of New Certificates</w:t>
      </w:r>
      <w:r>
        <w:rPr>
          <w:rFonts w:ascii="Times New Roman" w:cs="Times New Roman" w:eastAsia="Times New Roman" w:hAnsi="Times New Roman"/>
          <w:sz w:val="18"/>
          <w:szCs w:val="18"/>
          <w:color w:val="auto"/>
        </w:rPr>
        <w:t>. The corporation may issue a new certificate of stock in the place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200" w:lineRule="exact"/>
        <w:rPr>
          <w:sz w:val="20"/>
          <w:szCs w:val="20"/>
          <w:color w:val="auto"/>
        </w:rPr>
      </w:pPr>
    </w:p>
    <w:p>
      <w:pPr>
        <w:spacing w:after="0" w:line="25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617" w:right="359" w:bottom="1440" w:gutter="0" w:footer="0" w:header="0"/>
        </w:sectPr>
      </w:pPr>
    </w:p>
    <w:bookmarkStart w:id="302" w:name="page303"/>
    <w:bookmarkEnd w:id="302"/>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Indemnification and Advancement of Expenses</w:t>
      </w:r>
    </w:p>
    <w:p>
      <w:pPr>
        <w:spacing w:after="0" w:line="122" w:lineRule="exact"/>
        <w:rPr>
          <w:sz w:val="20"/>
          <w:szCs w:val="20"/>
          <w:color w:val="auto"/>
        </w:rPr>
      </w:pPr>
    </w:p>
    <w:p>
      <w:pPr>
        <w:ind w:left="432" w:hanging="432"/>
        <w:spacing w:after="0" w:line="254" w:lineRule="auto"/>
        <w:tabs>
          <w:tab w:leader="none" w:pos="40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Right to Indemnification</w:t>
      </w:r>
      <w:r>
        <w:rPr>
          <w:rFonts w:ascii="Times New Roman" w:cs="Times New Roman" w:eastAsia="Times New Roman" w:hAnsi="Times New Roman"/>
          <w:sz w:val="18"/>
          <w:szCs w:val="18"/>
          <w:color w:val="auto"/>
        </w:rPr>
        <w:t>. The corporation shall indemnify and hold harmless, to the fullest extent permitted by applicable law as it presently exists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hereafter be amended, any person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Article VI — Section 1,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spacing w:after="0" w:line="117" w:lineRule="exact"/>
        <w:rPr>
          <w:rFonts w:ascii="Times New Roman" w:cs="Times New Roman" w:eastAsia="Times New Roman" w:hAnsi="Times New Roman"/>
          <w:sz w:val="18"/>
          <w:szCs w:val="18"/>
          <w:color w:val="auto"/>
        </w:rPr>
      </w:pPr>
    </w:p>
    <w:p>
      <w:pPr>
        <w:ind w:left="432" w:right="160" w:hanging="432"/>
        <w:spacing w:after="0" w:line="259" w:lineRule="auto"/>
        <w:tabs>
          <w:tab w:leader="none" w:pos="40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Prepayment of Expenses</w:t>
      </w:r>
      <w:r>
        <w:rPr>
          <w:rFonts w:ascii="Times New Roman" w:cs="Times New Roman" w:eastAsia="Times New Roman" w:hAnsi="Times New Roman"/>
          <w:sz w:val="18"/>
          <w:szCs w:val="18"/>
          <w:color w:val="auto"/>
        </w:rPr>
        <w:t>. The corporation shall to the fullest extent not prohibited by applicable law pay the expenses (including attorneys’ fees)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incurred by a Covered Person in defending any proceeding in advance of its final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 or otherwise.</w:t>
      </w:r>
    </w:p>
    <w:p>
      <w:pPr>
        <w:spacing w:after="0" w:line="111" w:lineRule="exact"/>
        <w:rPr>
          <w:rFonts w:ascii="Times New Roman" w:cs="Times New Roman" w:eastAsia="Times New Roman" w:hAnsi="Times New Roman"/>
          <w:sz w:val="18"/>
          <w:szCs w:val="18"/>
          <w:color w:val="auto"/>
        </w:rPr>
      </w:pPr>
    </w:p>
    <w:p>
      <w:pPr>
        <w:ind w:left="432" w:hanging="432"/>
        <w:spacing w:after="0" w:line="259" w:lineRule="auto"/>
        <w:tabs>
          <w:tab w:leader="none" w:pos="40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If a claim for indemnification (following the final disposition of such proceeding) or advancement of expenses under this Article VI is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in full within thirty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98" w:lineRule="exact"/>
        <w:rPr>
          <w:rFonts w:ascii="Times New Roman" w:cs="Times New Roman" w:eastAsia="Times New Roman" w:hAnsi="Times New Roman"/>
          <w:sz w:val="18"/>
          <w:szCs w:val="18"/>
          <w:color w:val="auto"/>
        </w:rPr>
      </w:pPr>
    </w:p>
    <w:p>
      <w:pPr>
        <w:jc w:val="both"/>
        <w:ind w:left="432" w:right="540" w:hanging="432"/>
        <w:spacing w:after="0" w:line="268" w:lineRule="auto"/>
        <w:tabs>
          <w:tab w:leader="none" w:pos="40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Non-exclusivity of Rights</w:t>
      </w:r>
      <w:r>
        <w:rPr>
          <w:rFonts w:ascii="Times New Roman" w:cs="Times New Roman" w:eastAsia="Times New Roman" w:hAnsi="Times New Roman"/>
          <w:sz w:val="18"/>
          <w:szCs w:val="18"/>
          <w:color w:val="auto"/>
        </w:rPr>
        <w:t>. The rights conferred on any Covered Person by this Article VI shall not be exclusive of any other rights which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Covered Person may have or hereafter acquire under any statute, provision of the certificate of incorporation, these bylaws, agreement, vote of stockholders or disinterested directors or otherwise.</w:t>
      </w:r>
    </w:p>
    <w:p>
      <w:pPr>
        <w:spacing w:after="0" w:line="103" w:lineRule="exact"/>
        <w:rPr>
          <w:rFonts w:ascii="Times New Roman" w:cs="Times New Roman" w:eastAsia="Times New Roman" w:hAnsi="Times New Roman"/>
          <w:sz w:val="18"/>
          <w:szCs w:val="18"/>
          <w:color w:val="auto"/>
        </w:rPr>
      </w:pPr>
    </w:p>
    <w:p>
      <w:pPr>
        <w:ind w:left="432" w:right="80" w:hanging="432"/>
        <w:spacing w:after="0" w:line="262" w:lineRule="auto"/>
        <w:tabs>
          <w:tab w:leader="none" w:pos="40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Sources</w:t>
      </w:r>
      <w:r>
        <w:rPr>
          <w:rFonts w:ascii="Times New Roman" w:cs="Times New Roman" w:eastAsia="Times New Roman" w:hAnsi="Times New Roman"/>
          <w:sz w:val="18"/>
          <w:szCs w:val="18"/>
          <w:color w:val="auto"/>
        </w:rPr>
        <w:t>. The corporation’s obligation, if any, to indemnify or to advance expenses to any Covered Person who was or is serving at its request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w:t>
      </w:r>
    </w:p>
    <w:p>
      <w:pPr>
        <w:spacing w:after="0" w:line="108" w:lineRule="exact"/>
        <w:rPr>
          <w:rFonts w:ascii="Times New Roman" w:cs="Times New Roman" w:eastAsia="Times New Roman" w:hAnsi="Times New Roman"/>
          <w:sz w:val="18"/>
          <w:szCs w:val="18"/>
          <w:color w:val="auto"/>
        </w:rPr>
      </w:pPr>
    </w:p>
    <w:p>
      <w:pPr>
        <w:ind w:left="432" w:right="80" w:hanging="432"/>
        <w:spacing w:after="0" w:line="268" w:lineRule="auto"/>
        <w:tabs>
          <w:tab w:leader="none" w:pos="40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 or Repeal</w:t>
      </w:r>
      <w:r>
        <w:rPr>
          <w:rFonts w:ascii="Times New Roman" w:cs="Times New Roman" w:eastAsia="Times New Roman" w:hAnsi="Times New Roman"/>
          <w:sz w:val="18"/>
          <w:szCs w:val="18"/>
          <w:color w:val="auto"/>
        </w:rPr>
        <w:t>. Any right to indemnification or to advancement of expenses of any Covered Person arising hereunder shall not be eliminated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pacing w:after="0" w:line="89" w:lineRule="exact"/>
        <w:rPr>
          <w:rFonts w:ascii="Times New Roman" w:cs="Times New Roman" w:eastAsia="Times New Roman" w:hAnsi="Times New Roman"/>
          <w:sz w:val="18"/>
          <w:szCs w:val="18"/>
          <w:color w:val="auto"/>
        </w:rPr>
      </w:pPr>
    </w:p>
    <w:p>
      <w:pPr>
        <w:ind w:left="432" w:right="300" w:hanging="432"/>
        <w:spacing w:after="0" w:line="268" w:lineRule="auto"/>
        <w:tabs>
          <w:tab w:leader="none" w:pos="40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Indemnification and Advancement of Expenses</w:t>
      </w:r>
      <w:r>
        <w:rPr>
          <w:rFonts w:ascii="Times New Roman" w:cs="Times New Roman" w:eastAsia="Times New Roman" w:hAnsi="Times New Roman"/>
          <w:sz w:val="18"/>
          <w:szCs w:val="18"/>
          <w:color w:val="auto"/>
        </w:rPr>
        <w:t>. This Article VI shall not limit the right of the corporation, to the extent and in the manner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permitted by law, to indemnify and to advance expenses to persons other than Covered Persons when and as authorized by appropriate corporate action.</w:t>
      </w:r>
    </w:p>
    <w:p>
      <w:pPr>
        <w:spacing w:after="0" w:line="200" w:lineRule="exact"/>
        <w:rPr>
          <w:sz w:val="20"/>
          <w:szCs w:val="20"/>
          <w:color w:val="auto"/>
        </w:rPr>
      </w:pPr>
    </w:p>
    <w:p>
      <w:pPr>
        <w:spacing w:after="0" w:line="24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17" w:right="339" w:bottom="1440" w:gutter="0" w:footer="0" w:header="0"/>
        </w:sectPr>
      </w:pPr>
    </w:p>
    <w:bookmarkStart w:id="303" w:name="page304"/>
    <w:bookmarkEnd w:id="303"/>
    <w:p>
      <w:pPr>
        <w:ind w:left="5052"/>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5072"/>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2" w:lineRule="exact"/>
        <w:rPr>
          <w:sz w:val="20"/>
          <w:szCs w:val="20"/>
          <w:color w:val="auto"/>
        </w:rPr>
      </w:pPr>
    </w:p>
    <w:p>
      <w:pPr>
        <w:ind w:left="412" w:hanging="412"/>
        <w:spacing w:after="0"/>
        <w:tabs>
          <w:tab w:leader="none" w:pos="41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The fiscal year of the corporation shall be determined by resolution of the Board of Directors.</w:t>
      </w:r>
    </w:p>
    <w:p>
      <w:pPr>
        <w:spacing w:after="0" w:line="157" w:lineRule="exact"/>
        <w:rPr>
          <w:rFonts w:ascii="Times New Roman" w:cs="Times New Roman" w:eastAsia="Times New Roman" w:hAnsi="Times New Roman"/>
          <w:sz w:val="18"/>
          <w:szCs w:val="18"/>
          <w:color w:val="auto"/>
        </w:rPr>
      </w:pPr>
    </w:p>
    <w:p>
      <w:pPr>
        <w:ind w:left="432" w:hanging="432"/>
        <w:spacing w:after="0" w:line="254" w:lineRule="auto"/>
        <w:tabs>
          <w:tab w:leader="none" w:pos="40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Manner of Notice</w:t>
      </w:r>
      <w:r>
        <w:rPr>
          <w:rFonts w:ascii="Times New Roman" w:cs="Times New Roman" w:eastAsia="Times New Roman" w:hAnsi="Times New Roman"/>
          <w:sz w:val="18"/>
          <w:szCs w:val="18"/>
          <w:color w:val="auto"/>
        </w:rPr>
        <w:t>. Except as otherwise provided herein or permitted by applicable law, notices to directors and stockholders shall be in writing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delivered personally or mailed to the directors or stockholders at their addresses appearing on the books of the corporation not less than ten (10) nor more than sixty (60) days before the meeting,. Without limiting the manner by which notice otherwise may be given effectively to stockholders, 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Article VII — Section 2, shall be deemed to have consented to receiving such single written notice. Notice to directors may be given by telecopier, telephone or other means of electronic transmission.</w:t>
      </w:r>
    </w:p>
    <w:p>
      <w:pPr>
        <w:spacing w:after="0" w:line="120" w:lineRule="exact"/>
        <w:rPr>
          <w:rFonts w:ascii="Times New Roman" w:cs="Times New Roman" w:eastAsia="Times New Roman" w:hAnsi="Times New Roman"/>
          <w:sz w:val="18"/>
          <w:szCs w:val="18"/>
          <w:color w:val="auto"/>
        </w:rPr>
      </w:pPr>
    </w:p>
    <w:p>
      <w:pPr>
        <w:ind w:left="432" w:right="120" w:hanging="432"/>
        <w:spacing w:after="0" w:line="259" w:lineRule="auto"/>
        <w:tabs>
          <w:tab w:leader="none" w:pos="40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Waiver of Notice of Meetings of Stockholders, Directors and Committees</w:t>
      </w:r>
      <w:r>
        <w:rPr>
          <w:rFonts w:ascii="Times New Roman" w:cs="Times New Roman" w:eastAsia="Times New Roman" w:hAnsi="Times New Roman"/>
          <w:sz w:val="18"/>
          <w:szCs w:val="18"/>
          <w:color w:val="auto"/>
        </w:rPr>
        <w:t>. Any waiver of notice, given by the person entitled to notice,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or after the time stated therein, shall be deemed equivalent to timely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98" w:lineRule="exact"/>
        <w:rPr>
          <w:rFonts w:ascii="Times New Roman" w:cs="Times New Roman" w:eastAsia="Times New Roman" w:hAnsi="Times New Roman"/>
          <w:sz w:val="18"/>
          <w:szCs w:val="18"/>
          <w:color w:val="auto"/>
        </w:rPr>
      </w:pPr>
    </w:p>
    <w:p>
      <w:pPr>
        <w:ind w:left="432" w:hanging="432"/>
        <w:spacing w:after="0" w:line="268" w:lineRule="auto"/>
        <w:tabs>
          <w:tab w:leader="none" w:pos="40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Form of Records</w:t>
      </w:r>
      <w:r>
        <w:rPr>
          <w:rFonts w:ascii="Times New Roman" w:cs="Times New Roman" w:eastAsia="Times New Roman" w:hAnsi="Times New Roman"/>
          <w:sz w:val="18"/>
          <w:szCs w:val="18"/>
          <w:color w:val="auto"/>
        </w:rPr>
        <w:t>. Any records maintained by the corporation in the regular course of its business, including its stock ledger, books of account,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minute books, may be kept on, or by means of, or be in the form of, any information storage device or method, provided that the records so kept can be converted into clearly legible paper form within a reasonable time.</w:t>
      </w:r>
    </w:p>
    <w:p>
      <w:pPr>
        <w:spacing w:after="0" w:line="103" w:lineRule="exact"/>
        <w:rPr>
          <w:rFonts w:ascii="Times New Roman" w:cs="Times New Roman" w:eastAsia="Times New Roman" w:hAnsi="Times New Roman"/>
          <w:sz w:val="18"/>
          <w:szCs w:val="18"/>
          <w:color w:val="auto"/>
        </w:rPr>
      </w:pPr>
    </w:p>
    <w:p>
      <w:pPr>
        <w:ind w:left="432" w:right="120" w:hanging="432"/>
        <w:spacing w:after="0" w:line="286" w:lineRule="auto"/>
        <w:tabs>
          <w:tab w:leader="none" w:pos="40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 of Bylaws</w:t>
      </w:r>
      <w:r>
        <w:rPr>
          <w:rFonts w:ascii="Times New Roman" w:cs="Times New Roman" w:eastAsia="Times New Roman" w:hAnsi="Times New Roman"/>
          <w:sz w:val="18"/>
          <w:szCs w:val="18"/>
          <w:color w:val="auto"/>
        </w:rPr>
        <w:t>. These bylaws may be altered, amended or repealed, and new bylaws made, by the Board of Directors or by the affirmative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of sixty-six and two-thirds percent of the outstanding voting power of the corporation.</w:t>
      </w:r>
    </w:p>
    <w:p>
      <w:pPr>
        <w:spacing w:after="0" w:line="91" w:lineRule="exact"/>
        <w:rPr>
          <w:rFonts w:ascii="Times New Roman" w:cs="Times New Roman" w:eastAsia="Times New Roman" w:hAnsi="Times New Roman"/>
          <w:sz w:val="18"/>
          <w:szCs w:val="18"/>
          <w:color w:val="auto"/>
        </w:rPr>
      </w:pPr>
    </w:p>
    <w:p>
      <w:pPr>
        <w:ind w:left="5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95"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92"/>
          </w:cols>
          <w:pgMar w:left="328" w:top="617" w:right="479" w:bottom="1440" w:gutter="0" w:footer="0" w:header="0"/>
        </w:sectPr>
      </w:pPr>
    </w:p>
    <w:bookmarkStart w:id="304" w:name="page305"/>
    <w:bookmarkEnd w:id="30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CERTIFICATE OF SECRETARY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undersigned, do hereby certify:</w:t>
      </w:r>
    </w:p>
    <w:p>
      <w:pPr>
        <w:spacing w:after="0" w:line="158" w:lineRule="exact"/>
        <w:rPr>
          <w:sz w:val="20"/>
          <w:szCs w:val="20"/>
          <w:color w:val="auto"/>
        </w:rPr>
      </w:pPr>
    </w:p>
    <w:p>
      <w:pPr>
        <w:ind w:left="880" w:hanging="440"/>
        <w:spacing w:after="0" w:line="282" w:lineRule="auto"/>
        <w:tabs>
          <w:tab w:leader="none" w:pos="85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 am the duly elected and acting Secretary of Bull Horn Holdings Corp. (to be renamed Coeptis Therapeutics Holdings,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w:t>
      </w:r>
    </w:p>
    <w:p>
      <w:pPr>
        <w:spacing w:after="0" w:line="94" w:lineRule="exact"/>
        <w:rPr>
          <w:rFonts w:ascii="Times New Roman" w:cs="Times New Roman" w:eastAsia="Times New Roman" w:hAnsi="Times New Roman"/>
          <w:sz w:val="18"/>
          <w:szCs w:val="18"/>
          <w:color w:val="auto"/>
        </w:rPr>
      </w:pPr>
    </w:p>
    <w:p>
      <w:pPr>
        <w:ind w:left="880" w:right="140" w:hanging="440"/>
        <w:spacing w:after="0" w:line="312" w:lineRule="auto"/>
        <w:tabs>
          <w:tab w:leader="none" w:pos="853"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foregoing Bylaws, comprising fourteen (14) pages (inclusive of this certificate of secretary page), constitute the Bylaws of the Corporation as duly adopted and approved by Unanimous Written Consent of the Board of Directors effective as of _____________, 2022.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hereunto subscribed my name and affixed the seal of the Corporation this day of ______________ ,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p>
    <w:p>
      <w:pPr>
        <w:spacing w:after="0" w:line="9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[Name],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490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617" w:right="55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HOLDINGS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158"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w:t>
        <w:tab/>
        <w:t>GENERAL.</w:t>
      </w:r>
    </w:p>
    <w:p>
      <w:pPr>
        <w:spacing w:after="0" w:line="148" w:lineRule="exact"/>
        <w:rPr>
          <w:sz w:val="20"/>
          <w:szCs w:val="20"/>
          <w:color w:val="auto"/>
        </w:rPr>
      </w:pPr>
    </w:p>
    <w:p>
      <w:pPr>
        <w:ind w:right="80" w:firstLine="332"/>
        <w:spacing w:after="0" w:line="266" w:lineRule="auto"/>
        <w:tabs>
          <w:tab w:leader="none" w:pos="61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Purpose</w:t>
      </w:r>
      <w:r>
        <w:rPr>
          <w:rFonts w:ascii="Times New Roman" w:cs="Times New Roman" w:eastAsia="Times New Roman" w:hAnsi="Times New Roman"/>
          <w:sz w:val="18"/>
          <w:szCs w:val="18"/>
          <w:color w:val="auto"/>
        </w:rPr>
        <w:t>.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08" w:lineRule="exact"/>
        <w:rPr>
          <w:rFonts w:ascii="Times New Roman" w:cs="Times New Roman" w:eastAsia="Times New Roman" w:hAnsi="Times New Roman"/>
          <w:sz w:val="18"/>
          <w:szCs w:val="18"/>
          <w:color w:val="auto"/>
        </w:rPr>
      </w:pPr>
    </w:p>
    <w:p>
      <w:pPr>
        <w:ind w:right="440" w:firstLine="332"/>
        <w:spacing w:after="0" w:line="282" w:lineRule="auto"/>
        <w:tabs>
          <w:tab w:leader="none" w:pos="62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Awards</w:t>
      </w:r>
      <w:r>
        <w:rPr>
          <w:rFonts w:ascii="Times New Roman" w:cs="Times New Roman" w:eastAsia="Times New Roman" w:hAnsi="Times New Roman"/>
          <w:sz w:val="18"/>
          <w:szCs w:val="18"/>
          <w:color w:val="auto"/>
        </w:rPr>
        <w:t>. The Plan provides for the grant of the following Awards: (i) Incentive Stock Options; (ii) Nonstatutory Stock Options; (iii) SARs; (iv) Restricted Stock Awards; (v) RSU Awards; (vi) Performance Awards; and (vii) Other Awards.</w:t>
      </w:r>
    </w:p>
    <w:p>
      <w:pPr>
        <w:spacing w:after="0" w:line="9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Adoption Date</w:t>
      </w:r>
      <w:r>
        <w:rPr>
          <w:rFonts w:ascii="Times New Roman" w:cs="Times New Roman" w:eastAsia="Times New Roman" w:hAnsi="Times New Roman"/>
          <w:sz w:val="18"/>
          <w:szCs w:val="18"/>
          <w:color w:val="auto"/>
        </w:rPr>
        <w:t>. The Plan will come into existence on the Adoption Date. No Award may be granted under the Plan prior to the Adoption Date.</w:t>
      </w:r>
    </w:p>
    <w:p>
      <w:pPr>
        <w:spacing w:after="0" w:line="140"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SHARES SUBJECT TO THE PLAN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center"/>
        <w:ind w:right="240" w:firstLine="332"/>
        <w:spacing w:after="0" w:line="323" w:lineRule="auto"/>
        <w:tabs>
          <w:tab w:leader="none" w:pos="614"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Reserve</w:t>
      </w:r>
      <w:r>
        <w:rPr>
          <w:rFonts w:ascii="Times New Roman" w:cs="Times New Roman" w:eastAsia="Times New Roman" w:hAnsi="Times New Roman"/>
          <w:sz w:val="17"/>
          <w:szCs w:val="17"/>
          <w:color w:val="auto"/>
        </w:rPr>
        <w:t>. Subject to adjustment in accordance with Section 2(d) and any adjustments as necessary to implement any Capitalization Adjustments, the aggregate number of shares of Common Stock that may be issued pursuant to Awards will not exceed ________________</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7"/>
          <w:szCs w:val="17"/>
          <w:color w:val="auto"/>
        </w:rPr>
        <w:t xml:space="preserve"> new shares.</w:t>
      </w:r>
    </w:p>
    <w:p>
      <w:pPr>
        <w:spacing w:after="0" w:line="21" w:lineRule="exact"/>
        <w:rPr>
          <w:rFonts w:ascii="Times New Roman" w:cs="Times New Roman" w:eastAsia="Times New Roman" w:hAnsi="Times New Roman"/>
          <w:sz w:val="17"/>
          <w:szCs w:val="17"/>
          <w:color w:val="auto"/>
        </w:rPr>
      </w:pPr>
    </w:p>
    <w:p>
      <w:pPr>
        <w:ind w:right="20" w:firstLine="332"/>
        <w:spacing w:after="0" w:line="258" w:lineRule="auto"/>
        <w:tabs>
          <w:tab w:leader="none" w:pos="62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Fungible Share Counting</w:t>
      </w:r>
      <w:r>
        <w:rPr>
          <w:rFonts w:ascii="Times New Roman" w:cs="Times New Roman" w:eastAsia="Times New Roman" w:hAnsi="Times New Roman"/>
          <w:sz w:val="18"/>
          <w:szCs w:val="18"/>
          <w:color w:val="auto"/>
        </w:rPr>
        <w:t>. Subject to adjustment in accordance with Section 2(d), the number of shares of Common Stock available for issuance under the Plan will be reduced by: (i) one share for each share of Common Stock issued pursuant to an Option or SAR with respect to which the exercise or strike price is at least 100% of the Fair Market Value of the Common Stock subject to the Option or SAR on the grant date (each, an “</w:t>
      </w:r>
      <w:r>
        <w:rPr>
          <w:rFonts w:ascii="Times New Roman" w:cs="Times New Roman" w:eastAsia="Times New Roman" w:hAnsi="Times New Roman"/>
          <w:sz w:val="18"/>
          <w:szCs w:val="18"/>
          <w:u w:val="single" w:color="auto"/>
          <w:color w:val="auto"/>
        </w:rPr>
        <w:t>Appreciation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and (ii) one share for each share of Common Stock issued pursuant to any Award (other than an Appreciation Award) (each, a “</w:t>
      </w:r>
      <w:r>
        <w:rPr>
          <w:rFonts w:ascii="Times New Roman" w:cs="Times New Roman" w:eastAsia="Times New Roman" w:hAnsi="Times New Roman"/>
          <w:sz w:val="18"/>
          <w:szCs w:val="18"/>
          <w:u w:val="single" w:color="auto"/>
          <w:color w:val="auto"/>
        </w:rPr>
        <w:t>Full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ind w:right="160" w:firstLine="332"/>
        <w:spacing w:after="0" w:line="260" w:lineRule="auto"/>
        <w:tabs>
          <w:tab w:leader="none" w:pos="61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Aggregate Incentive Stock Option Limit</w:t>
      </w:r>
      <w:r>
        <w:rPr>
          <w:rFonts w:ascii="Times New Roman" w:cs="Times New Roman" w:eastAsia="Times New Roman" w:hAnsi="Times New Roman"/>
          <w:sz w:val="18"/>
          <w:szCs w:val="18"/>
          <w:color w:val="auto"/>
        </w:rPr>
        <w:t>. Notwithstanding anything to the contrary in Section 2(a) and subject to any adjustments as necessary to implement any Capitalization Adjustments, the aggregate maximum number of shares of Common Stock that may be issued pursuant to the exercise of</w:t>
      </w:r>
    </w:p>
    <w:p>
      <w:pPr>
        <w:spacing w:after="0"/>
        <w:tabs>
          <w:tab w:leader="none" w:pos="2180" w:val="left"/>
        </w:tabs>
        <w:rPr>
          <w:sz w:val="20"/>
          <w:szCs w:val="20"/>
          <w:color w:val="auto"/>
        </w:rPr>
      </w:pPr>
      <w:r>
        <w:rPr>
          <w:rFonts w:ascii="Times New Roman" w:cs="Times New Roman" w:eastAsia="Times New Roman" w:hAnsi="Times New Roman"/>
          <w:sz w:val="18"/>
          <w:szCs w:val="18"/>
          <w:color w:val="auto"/>
        </w:rPr>
        <w:t>Incentive Stock Options is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7"/>
          <w:szCs w:val="17"/>
          <w:color w:val="auto"/>
        </w:rPr>
        <w:t xml:space="preserve"> shares.</w:t>
      </w:r>
    </w:p>
    <w:p>
      <w:pPr>
        <w:spacing w:after="0" w:line="131" w:lineRule="exact"/>
        <w:rPr>
          <w:sz w:val="20"/>
          <w:szCs w:val="20"/>
          <w:color w:val="auto"/>
        </w:rPr>
      </w:pPr>
    </w:p>
    <w:p>
      <w:pPr>
        <w:ind w:left="640" w:hanging="308"/>
        <w:spacing w:after="0"/>
        <w:tabs>
          <w:tab w:leader="none" w:pos="6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 Operation</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980" w:right="20" w:hanging="234"/>
        <w:spacing w:after="0" w:line="256" w:lineRule="auto"/>
        <w:tabs>
          <w:tab w:leader="none" w:pos="97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Applies to Common Stock Issued Pursuant to Awards</w:t>
      </w:r>
      <w:r>
        <w:rPr>
          <w:rFonts w:ascii="Times New Roman" w:cs="Times New Roman" w:eastAsia="Times New Roman" w:hAnsi="Times New Roman"/>
          <w:sz w:val="18"/>
          <w:szCs w:val="18"/>
          <w:color w:val="auto"/>
        </w:rPr>
        <w:t>. 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06" w:lineRule="exact"/>
        <w:rPr>
          <w:rFonts w:ascii="Times New Roman" w:cs="Times New Roman" w:eastAsia="Times New Roman" w:hAnsi="Times New Roman"/>
          <w:sz w:val="18"/>
          <w:szCs w:val="18"/>
          <w:color w:val="auto"/>
        </w:rPr>
      </w:pPr>
    </w:p>
    <w:p>
      <w:pPr>
        <w:ind w:left="980" w:right="80" w:hanging="234"/>
        <w:spacing w:after="0" w:line="255" w:lineRule="auto"/>
        <w:tabs>
          <w:tab w:leader="none" w:pos="981"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that Do Not Constitute Issuance of Common Stock and Do Not Reduce Share Reserve</w:t>
      </w:r>
      <w:r>
        <w:rPr>
          <w:rFonts w:ascii="Times New Roman" w:cs="Times New Roman" w:eastAsia="Times New Roman" w:hAnsi="Times New Roman"/>
          <w:sz w:val="18"/>
          <w:szCs w:val="18"/>
          <w:color w:val="auto"/>
        </w:rPr>
        <w:t>.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or strike price of an Appreciation Award; (4) the withholding of shares that would otherwise be issued by the Company to satisfy a tax withholding obligation in connection with an Appreciation Award.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440" w:right="320" w:hanging="432"/>
        <w:spacing w:after="0" w:line="269" w:lineRule="auto"/>
        <w:tabs>
          <w:tab w:leader="none" w:pos="413"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underlying the Plan will be determined at closing and will represent approximately 12% of the closing date issued and outstanding common stock.</w:t>
      </w:r>
    </w:p>
    <w:p>
      <w:pPr>
        <w:ind w:left="420" w:hanging="412"/>
        <w:spacing w:after="0"/>
        <w:tabs>
          <w:tab w:leader="none" w:pos="42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footnote 1.</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06" w:name="page307"/>
    <w:bookmarkEnd w:id="306"/>
    <w:p>
      <w:pPr>
        <w:ind w:left="960" w:right="60" w:hanging="234"/>
        <w:spacing w:after="0" w:line="255" w:lineRule="auto"/>
        <w:tabs>
          <w:tab w:leader="none" w:pos="96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Reversion of Previously Issued Shares of Common Stock to Share Reserve</w:t>
      </w:r>
      <w:r>
        <w:rPr>
          <w:rFonts w:ascii="Times New Roman" w:cs="Times New Roman" w:eastAsia="Times New Roman" w:hAnsi="Times New Roman"/>
          <w:sz w:val="18"/>
          <w:szCs w:val="18"/>
          <w:color w:val="auto"/>
        </w:rPr>
        <w:t>.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or strike price of an Appreciation Award; and (3) any shares that are reacquired by the Company to satisfy a tax withholding obligation in connection with an Appreciation Award. For each share subject to a Full Value Award that is added back to the Share Reserve pursuant to this subsection, the number of shares of Common Stock available for issuance under the Plan will increase by one share.</w:t>
      </w:r>
    </w:p>
    <w:p>
      <w:pPr>
        <w:spacing w:after="0" w:line="103"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AND LIMITATIONS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00" w:hanging="288"/>
        <w:spacing w:after="0"/>
        <w:tabs>
          <w:tab w:leader="none" w:pos="6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Award Recipients</w:t>
      </w:r>
      <w:r>
        <w:rPr>
          <w:rFonts w:ascii="Times New Roman" w:cs="Times New Roman" w:eastAsia="Times New Roman" w:hAnsi="Times New Roman"/>
          <w:sz w:val="18"/>
          <w:szCs w:val="18"/>
          <w:color w:val="auto"/>
        </w:rPr>
        <w:t>. Subject to the terms of the Plan, Employees, Directors and Consultants are eligible to receive Awards.</w:t>
      </w:r>
    </w:p>
    <w:p>
      <w:pPr>
        <w:spacing w:after="0" w:line="157"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Award Limitations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960" w:right="220" w:hanging="234"/>
        <w:spacing w:after="0" w:line="282" w:lineRule="auto"/>
        <w:tabs>
          <w:tab w:leader="none" w:pos="95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Incentive Stock Option Recipients</w:t>
      </w:r>
      <w:r>
        <w:rPr>
          <w:rFonts w:ascii="Times New Roman" w:cs="Times New Roman" w:eastAsia="Times New Roman" w:hAnsi="Times New Roman"/>
          <w:sz w:val="18"/>
          <w:szCs w:val="18"/>
          <w:color w:val="auto"/>
        </w:rPr>
        <w:t>. Incentive Stock Options may be granted only to Employees of the Company or a “parent corporation” or “subsidiary corporation” thereof (as such terms are defined in Sections 424(e) and (f) of the Code).</w:t>
      </w:r>
    </w:p>
    <w:p>
      <w:pPr>
        <w:spacing w:after="0" w:line="94" w:lineRule="exact"/>
        <w:rPr>
          <w:rFonts w:ascii="Times New Roman" w:cs="Times New Roman" w:eastAsia="Times New Roman" w:hAnsi="Times New Roman"/>
          <w:sz w:val="18"/>
          <w:szCs w:val="18"/>
          <w:color w:val="auto"/>
        </w:rPr>
      </w:pPr>
    </w:p>
    <w:p>
      <w:pPr>
        <w:ind w:left="960" w:right="40" w:hanging="234"/>
        <w:spacing w:after="0" w:line="256" w:lineRule="auto"/>
        <w:tabs>
          <w:tab w:leader="none" w:pos="961"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 $100,000 Limitation</w:t>
      </w:r>
      <w:r>
        <w:rPr>
          <w:rFonts w:ascii="Times New Roman" w:cs="Times New Roman" w:eastAsia="Times New Roman" w:hAnsi="Times New Roman"/>
          <w:sz w:val="18"/>
          <w:szCs w:val="18"/>
          <w:color w:val="auto"/>
        </w:rPr>
        <w:t>.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19" w:lineRule="exact"/>
        <w:rPr>
          <w:rFonts w:ascii="Times New Roman" w:cs="Times New Roman" w:eastAsia="Times New Roman" w:hAnsi="Times New Roman"/>
          <w:sz w:val="18"/>
          <w:szCs w:val="18"/>
          <w:color w:val="auto"/>
        </w:rPr>
      </w:pPr>
    </w:p>
    <w:p>
      <w:pPr>
        <w:ind w:left="960" w:right="60" w:hanging="234"/>
        <w:spacing w:after="0" w:line="266" w:lineRule="auto"/>
        <w:tabs>
          <w:tab w:leader="none" w:pos="96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Incentive Stock Options Granted to Ten Percent Stockholders</w:t>
      </w:r>
      <w:r>
        <w:rPr>
          <w:rFonts w:ascii="Times New Roman" w:cs="Times New Roman" w:eastAsia="Times New Roman" w:hAnsi="Times New Roman"/>
          <w:sz w:val="18"/>
          <w:szCs w:val="18"/>
          <w:color w:val="auto"/>
        </w:rPr>
        <w:t>. A Ten 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94" w:lineRule="exact"/>
        <w:rPr>
          <w:rFonts w:ascii="Times New Roman" w:cs="Times New Roman" w:eastAsia="Times New Roman" w:hAnsi="Times New Roman"/>
          <w:sz w:val="18"/>
          <w:szCs w:val="18"/>
          <w:color w:val="auto"/>
        </w:rPr>
      </w:pPr>
    </w:p>
    <w:p>
      <w:pPr>
        <w:ind w:left="960" w:hanging="234"/>
        <w:spacing w:after="0" w:line="258" w:lineRule="auto"/>
        <w:tabs>
          <w:tab w:leader="none" w:pos="944"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Nonstatutory Stock Options and SARs</w:t>
      </w:r>
      <w:r>
        <w:rPr>
          <w:rFonts w:ascii="Times New Roman" w:cs="Times New Roman" w:eastAsia="Times New Roman" w:hAnsi="Times New Roman"/>
          <w:sz w:val="18"/>
          <w:szCs w:val="18"/>
          <w:color w:val="auto"/>
        </w:rPr>
        <w:t>.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15" w:lineRule="exact"/>
        <w:rPr>
          <w:rFonts w:ascii="Times New Roman" w:cs="Times New Roman" w:eastAsia="Times New Roman" w:hAnsi="Times New Roman"/>
          <w:sz w:val="18"/>
          <w:szCs w:val="18"/>
          <w:color w:val="auto"/>
        </w:rPr>
      </w:pPr>
    </w:p>
    <w:p>
      <w:pPr>
        <w:ind w:left="-20" w:right="40" w:firstLine="332"/>
        <w:spacing w:after="0" w:line="282" w:lineRule="auto"/>
        <w:tabs>
          <w:tab w:leader="none" w:pos="59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Aggregate Incentive Stock Option Limit</w:t>
      </w:r>
      <w:r>
        <w:rPr>
          <w:rFonts w:ascii="Times New Roman" w:cs="Times New Roman" w:eastAsia="Times New Roman" w:hAnsi="Times New Roman"/>
          <w:sz w:val="18"/>
          <w:szCs w:val="18"/>
          <w:color w:val="auto"/>
        </w:rPr>
        <w:t>. The aggregate maximum number of shares of Common Stock that may be issued pursuant to the exercise of Incentive Stock Options is the number of shares specified in Section 2(c).</w:t>
      </w:r>
    </w:p>
    <w:p>
      <w:pPr>
        <w:spacing w:after="0" w:line="161" w:lineRule="exact"/>
        <w:rPr>
          <w:rFonts w:ascii="Times New Roman" w:cs="Times New Roman" w:eastAsia="Times New Roman" w:hAnsi="Times New Roman"/>
          <w:sz w:val="18"/>
          <w:szCs w:val="18"/>
          <w:color w:val="auto"/>
        </w:rPr>
      </w:pPr>
    </w:p>
    <w:p>
      <w:pPr>
        <w:ind w:left="-20" w:right="20" w:firstLine="332"/>
        <w:spacing w:after="0" w:line="261" w:lineRule="auto"/>
        <w:tabs>
          <w:tab w:leader="none" w:pos="60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Non-Employee Director Compensation Limit</w:t>
      </w:r>
      <w:r>
        <w:rPr>
          <w:rFonts w:ascii="Times New Roman" w:cs="Times New Roman" w:eastAsia="Times New Roman" w:hAnsi="Times New Roman"/>
          <w:sz w:val="18"/>
          <w:szCs w:val="18"/>
          <w:color w:val="auto"/>
        </w:rPr>
        <w:t>. The aggregate value of all Awards granted to any individual for service as a Non-Employee Director with respect to any calendar year will not exceed (i) $200,000 in total value or (ii) in the event such Non-Employee Director is first appointed or elected to the Board during such calendar year, $400,000 in total value, in each case calculating the value of any equity awards based on the grant date fair value of such equity awards for financial reporting purposes.</w:t>
      </w:r>
    </w:p>
    <w:p>
      <w:pPr>
        <w:spacing w:after="0" w:line="176" w:lineRule="exact"/>
        <w:rPr>
          <w:sz w:val="20"/>
          <w:szCs w:val="20"/>
          <w:color w:val="auto"/>
        </w:rPr>
      </w:pPr>
    </w:p>
    <w:p>
      <w:pPr>
        <w:ind w:left="-20" w:right="120" w:firstLine="332"/>
        <w:spacing w:after="0" w:line="259" w:lineRule="auto"/>
        <w:tabs>
          <w:tab w:leader="none" w:pos="619"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Each Option will have such terms and conditions as determined by the Board. Each Option will be designated in writing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Incentive Stock Option or Nonstatutory Stock Option at the time of grant;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if an Option is not so designated, then such Option will be a Nonstatutory Stock Option, and the shares purchased upon exercise of each type of Option will be separately accounted for. The terms and conditions of separate Options need not be identical;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each Option Agreement will conform (through incorporation of provisions hereof by reference in the Award Agreement or otherwise) to the substance of each of the following provisions: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307" w:name="page308"/>
    <w:bookmarkEnd w:id="307"/>
    <w:p>
      <w:pPr>
        <w:ind w:left="-20" w:right="180" w:firstLine="332"/>
        <w:spacing w:after="0" w:line="282" w:lineRule="auto"/>
        <w:tabs>
          <w:tab w:leader="none" w:pos="59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Section 3(b) regarding Ten Percent Stockholders, no Option will be exercisable after the expiration of ten years from the date of grant of such Award or such shorter period specified in the Award Agreement.</w:t>
      </w:r>
    </w:p>
    <w:p>
      <w:pPr>
        <w:spacing w:after="0" w:line="80" w:lineRule="exact"/>
        <w:rPr>
          <w:rFonts w:ascii="Times New Roman" w:cs="Times New Roman" w:eastAsia="Times New Roman" w:hAnsi="Times New Roman"/>
          <w:sz w:val="18"/>
          <w:szCs w:val="18"/>
          <w:color w:val="auto"/>
        </w:rPr>
      </w:pPr>
    </w:p>
    <w:p>
      <w:pPr>
        <w:ind w:left="-20" w:firstLine="332"/>
        <w:spacing w:after="0" w:line="258" w:lineRule="auto"/>
        <w:tabs>
          <w:tab w:leader="none" w:pos="60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or Strike Price</w:t>
      </w:r>
      <w:r>
        <w:rPr>
          <w:rFonts w:ascii="Times New Roman" w:cs="Times New Roman" w:eastAsia="Times New Roman" w:hAnsi="Times New Roman"/>
          <w:sz w:val="18"/>
          <w:szCs w:val="18"/>
          <w:color w:val="auto"/>
        </w:rPr>
        <w:t>. Subject to Section 3(b) regarding Ten Percent Stockholders, the exercise or strike price of each Option will not be less than 100% of the Fair Market Value on the date of grant of such Award. Notwithstanding the foregoing, an Option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15" w:lineRule="exact"/>
        <w:rPr>
          <w:rFonts w:ascii="Times New Roman" w:cs="Times New Roman" w:eastAsia="Times New Roman" w:hAnsi="Times New Roman"/>
          <w:sz w:val="18"/>
          <w:szCs w:val="18"/>
          <w:color w:val="auto"/>
        </w:rPr>
      </w:pPr>
    </w:p>
    <w:p>
      <w:pPr>
        <w:ind w:left="-20" w:right="160" w:firstLine="332"/>
        <w:spacing w:after="0" w:line="256" w:lineRule="auto"/>
        <w:tabs>
          <w:tab w:leader="none" w:pos="59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 and Payment of Exercise Price for Options</w:t>
      </w:r>
      <w:r>
        <w:rPr>
          <w:rFonts w:ascii="Times New Roman" w:cs="Times New Roman" w:eastAsia="Times New Roman" w:hAnsi="Times New Roman"/>
          <w:sz w:val="18"/>
          <w:szCs w:val="18"/>
          <w:color w:val="auto"/>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w:t>
      </w:r>
      <w:r>
        <w:rPr>
          <w:rFonts w:ascii="Times New Roman" w:cs="Times New Roman" w:eastAsia="Times New Roman" w:hAnsi="Times New Roman"/>
          <w:sz w:val="18"/>
          <w:szCs w:val="18"/>
          <w:u w:val="single" w:color="auto"/>
          <w:color w:val="auto"/>
        </w:rPr>
        <w:t>and as determined by the Board</w:t>
      </w:r>
      <w:r>
        <w:rPr>
          <w:rFonts w:ascii="Times New Roman" w:cs="Times New Roman" w:eastAsia="Times New Roman" w:hAnsi="Times New Roman"/>
          <w:sz w:val="18"/>
          <w:szCs w:val="18"/>
          <w:color w:val="auto"/>
        </w:rPr>
        <w:t>, by one or more of the following methods of payment to the extent set forth in the Option Agreement:</w:t>
      </w:r>
    </w:p>
    <w:p>
      <w:pPr>
        <w:spacing w:after="0" w:line="119" w:lineRule="exact"/>
        <w:rPr>
          <w:rFonts w:ascii="Times New Roman" w:cs="Times New Roman" w:eastAsia="Times New Roman" w:hAnsi="Times New Roman"/>
          <w:sz w:val="18"/>
          <w:szCs w:val="18"/>
          <w:color w:val="auto"/>
        </w:rPr>
      </w:pPr>
    </w:p>
    <w:p>
      <w:pPr>
        <w:ind w:left="960" w:hanging="234"/>
        <w:spacing w:after="0"/>
        <w:tabs>
          <w:tab w:leader="none" w:pos="96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144" w:lineRule="exact"/>
        <w:rPr>
          <w:rFonts w:ascii="Times New Roman" w:cs="Times New Roman" w:eastAsia="Times New Roman" w:hAnsi="Times New Roman"/>
          <w:sz w:val="18"/>
          <w:szCs w:val="18"/>
          <w:color w:val="auto"/>
        </w:rPr>
      </w:pPr>
    </w:p>
    <w:p>
      <w:pPr>
        <w:ind w:left="960" w:right="480" w:hanging="234"/>
        <w:spacing w:after="0" w:line="266" w:lineRule="auto"/>
        <w:tabs>
          <w:tab w:leader="none" w:pos="96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08" w:lineRule="exact"/>
        <w:rPr>
          <w:rFonts w:ascii="Times New Roman" w:cs="Times New Roman" w:eastAsia="Times New Roman" w:hAnsi="Times New Roman"/>
          <w:sz w:val="18"/>
          <w:szCs w:val="18"/>
          <w:color w:val="auto"/>
        </w:rPr>
      </w:pPr>
    </w:p>
    <w:p>
      <w:pPr>
        <w:ind w:left="960" w:right="60" w:hanging="234"/>
        <w:spacing w:after="0" w:line="255" w:lineRule="auto"/>
        <w:tabs>
          <w:tab w:leader="none" w:pos="96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21" w:lineRule="exact"/>
        <w:rPr>
          <w:rFonts w:ascii="Times New Roman" w:cs="Times New Roman" w:eastAsia="Times New Roman" w:hAnsi="Times New Roman"/>
          <w:sz w:val="18"/>
          <w:szCs w:val="18"/>
          <w:color w:val="auto"/>
        </w:rPr>
      </w:pPr>
    </w:p>
    <w:p>
      <w:pPr>
        <w:ind w:left="960" w:hanging="234"/>
        <w:spacing w:after="0" w:line="255" w:lineRule="auto"/>
        <w:tabs>
          <w:tab w:leader="none" w:pos="94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07" w:lineRule="exact"/>
        <w:rPr>
          <w:rFonts w:ascii="Times New Roman" w:cs="Times New Roman" w:eastAsia="Times New Roman" w:hAnsi="Times New Roman"/>
          <w:sz w:val="18"/>
          <w:szCs w:val="18"/>
          <w:color w:val="auto"/>
        </w:rPr>
      </w:pPr>
    </w:p>
    <w:p>
      <w:pPr>
        <w:ind w:left="940" w:hanging="214"/>
        <w:spacing w:after="0"/>
        <w:tabs>
          <w:tab w:leader="none" w:pos="94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308" w:name="page309"/>
    <w:bookmarkEnd w:id="308"/>
    <w:p>
      <w:pPr>
        <w:ind w:left="640" w:hanging="308"/>
        <w:spacing w:after="0"/>
        <w:tabs>
          <w:tab w:leader="none" w:pos="6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The Board may impose such limitations on the transferability of an Option as it determines. In the absence of any such</w:t>
      </w:r>
    </w:p>
    <w:p>
      <w:pPr>
        <w:spacing w:after="0" w:line="27" w:lineRule="exact"/>
        <w:rPr>
          <w:rFonts w:ascii="Times New Roman" w:cs="Times New Roman" w:eastAsia="Times New Roman" w:hAnsi="Times New Roman"/>
          <w:sz w:val="18"/>
          <w:szCs w:val="18"/>
          <w:color w:val="auto"/>
        </w:rPr>
      </w:pPr>
    </w:p>
    <w:p>
      <w:pPr>
        <w:ind w:right="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Board, the following restrictions on the transferability of Options will apply, provided that except as explicitly provided herein, no Option may be transferred for consideration and provided, further, that if an Option is an Incentive Stock Option, such Option may be deemed to be a Nonstatutory Stock Option as a result of such transfer:</w:t>
      </w:r>
    </w:p>
    <w:p>
      <w:pPr>
        <w:spacing w:after="0" w:line="104" w:lineRule="exact"/>
        <w:rPr>
          <w:rFonts w:ascii="Times New Roman" w:cs="Times New Roman" w:eastAsia="Times New Roman" w:hAnsi="Times New Roman"/>
          <w:sz w:val="18"/>
          <w:szCs w:val="18"/>
          <w:color w:val="auto"/>
        </w:rPr>
      </w:pPr>
    </w:p>
    <w:p>
      <w:pPr>
        <w:jc w:val="both"/>
        <w:ind w:left="980" w:right="20" w:hanging="234"/>
        <w:spacing w:after="0" w:line="258" w:lineRule="auto"/>
        <w:tabs>
          <w:tab w:leader="none" w:pos="976"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An Option will not be transferable, except by will or by the laws of descent and distribution, and will be exercisable during the lifetime of the Participant only by the Participant; provided, however, that the Board may permit transfer of an Option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is held in such trust, provided that the Participant and the trustee enter into a transfer and other agreements required by the Company.</w:t>
      </w:r>
    </w:p>
    <w:p>
      <w:pPr>
        <w:spacing w:after="0" w:line="115" w:lineRule="exact"/>
        <w:rPr>
          <w:rFonts w:ascii="Times New Roman" w:cs="Times New Roman" w:eastAsia="Times New Roman" w:hAnsi="Times New Roman"/>
          <w:sz w:val="18"/>
          <w:szCs w:val="18"/>
          <w:color w:val="auto"/>
        </w:rPr>
      </w:pPr>
    </w:p>
    <w:p>
      <w:pPr>
        <w:ind w:left="980" w:right="40" w:hanging="234"/>
        <w:spacing w:after="0" w:line="266" w:lineRule="auto"/>
        <w:tabs>
          <w:tab w:leader="none" w:pos="981"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Domestic Relations Orders</w:t>
      </w:r>
      <w:r>
        <w:rPr>
          <w:rFonts w:ascii="Times New Roman" w:cs="Times New Roman" w:eastAsia="Times New Roman" w:hAnsi="Times New Roman"/>
          <w:sz w:val="18"/>
          <w:szCs w:val="18"/>
          <w:color w:val="auto"/>
        </w:rPr>
        <w:t>. Notwithstanding the foregoing, subject to the execution of transfer documentation in a format acceptable to the Company and subject to the approval of the Board or a duly authorized Officer, an Option may be transferred pursuant to a domestic relations order.</w:t>
      </w:r>
    </w:p>
    <w:p>
      <w:pPr>
        <w:spacing w:after="0" w:line="108" w:lineRule="exact"/>
        <w:rPr>
          <w:rFonts w:ascii="Times New Roman" w:cs="Times New Roman" w:eastAsia="Times New Roman" w:hAnsi="Times New Roman"/>
          <w:sz w:val="18"/>
          <w:szCs w:val="18"/>
          <w:color w:val="auto"/>
        </w:rPr>
      </w:pPr>
    </w:p>
    <w:p>
      <w:pPr>
        <w:ind w:right="300" w:firstLine="332"/>
        <w:spacing w:after="0" w:line="266" w:lineRule="auto"/>
        <w:tabs>
          <w:tab w:leader="none" w:pos="61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Board may impose such restrictions on or conditions to the vesting and/or exercisability of an Option as determined by the Board. Except as otherwise provided in the Award Agreement or other written agreement between a Participant and the Company or an Affiliate, vesting of Options will cease upon termination of the Participant’s Continuous Service.</w:t>
      </w:r>
    </w:p>
    <w:p>
      <w:pPr>
        <w:spacing w:after="0" w:line="94" w:lineRule="exact"/>
        <w:rPr>
          <w:rFonts w:ascii="Times New Roman" w:cs="Times New Roman" w:eastAsia="Times New Roman" w:hAnsi="Times New Roman"/>
          <w:sz w:val="18"/>
          <w:szCs w:val="18"/>
          <w:color w:val="auto"/>
        </w:rPr>
      </w:pPr>
    </w:p>
    <w:p>
      <w:pPr>
        <w:ind w:right="220" w:firstLine="332"/>
        <w:spacing w:after="0" w:line="256" w:lineRule="auto"/>
        <w:tabs>
          <w:tab w:leader="none" w:pos="63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Continuous Service for Cause. Except as explicitly otherwise provided in the Award Agreement or other written agreement between a Participant and the Company or an Affiliate, if a Participant’s Continuous Service is terminated for Cause, the Participant’s Options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19" w:lineRule="exact"/>
        <w:rPr>
          <w:rFonts w:ascii="Times New Roman" w:cs="Times New Roman" w:eastAsia="Times New Roman" w:hAnsi="Times New Roman"/>
          <w:sz w:val="18"/>
          <w:szCs w:val="18"/>
          <w:color w:val="auto"/>
        </w:rPr>
      </w:pPr>
    </w:p>
    <w:p>
      <w:pPr>
        <w:ind w:firstLine="332"/>
        <w:spacing w:after="0" w:line="258" w:lineRule="auto"/>
        <w:tabs>
          <w:tab w:leader="none" w:pos="62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Post-Termination Exercise Period Following Termination of Continuous Service for Reasons Other than Cause</w:t>
      </w:r>
      <w:r>
        <w:rPr>
          <w:rFonts w:ascii="Times New Roman" w:cs="Times New Roman" w:eastAsia="Times New Roman" w:hAnsi="Times New Roman"/>
          <w:sz w:val="18"/>
          <w:szCs w:val="18"/>
          <w:color w:val="auto"/>
        </w:rPr>
        <w:t xml:space="preserve">. Subject to Section 4(h), if a Participant’s Continuous Service terminates for any reason other than for Cause, the Participant may exercise his or her Options to the extent vested, but only within the following period of time or, if applicable, such other period of time provided in the Award Agreement or other written agreement between a Participant and the Company or an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no event may such Award be exercised after the expiration of its maximum term (as set forth in Section 4(a)):</w:t>
      </w:r>
    </w:p>
    <w:p>
      <w:pPr>
        <w:spacing w:after="0" w:line="115" w:lineRule="exact"/>
        <w:rPr>
          <w:rFonts w:ascii="Times New Roman" w:cs="Times New Roman" w:eastAsia="Times New Roman" w:hAnsi="Times New Roman"/>
          <w:sz w:val="18"/>
          <w:szCs w:val="18"/>
          <w:color w:val="auto"/>
        </w:rPr>
      </w:pPr>
    </w:p>
    <w:p>
      <w:pPr>
        <w:ind w:left="1140" w:right="200" w:hanging="232"/>
        <w:spacing w:after="0" w:line="282" w:lineRule="auto"/>
        <w:tabs>
          <w:tab w:leader="none" w:pos="1136"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80" w:lineRule="exact"/>
        <w:rPr>
          <w:rFonts w:ascii="Times New Roman" w:cs="Times New Roman" w:eastAsia="Times New Roman" w:hAnsi="Times New Roman"/>
          <w:sz w:val="18"/>
          <w:szCs w:val="18"/>
          <w:color w:val="auto"/>
        </w:rPr>
      </w:pPr>
    </w:p>
    <w:p>
      <w:pPr>
        <w:ind w:left="1140" w:hanging="232"/>
        <w:spacing w:after="0"/>
        <w:tabs>
          <w:tab w:leader="none" w:pos="1140"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157" w:lineRule="exact"/>
        <w:rPr>
          <w:rFonts w:ascii="Times New Roman" w:cs="Times New Roman" w:eastAsia="Times New Roman" w:hAnsi="Times New Roman"/>
          <w:sz w:val="18"/>
          <w:szCs w:val="18"/>
          <w:color w:val="auto"/>
        </w:rPr>
      </w:pPr>
    </w:p>
    <w:p>
      <w:pPr>
        <w:ind w:left="1140" w:hanging="232"/>
        <w:spacing w:after="0"/>
        <w:tabs>
          <w:tab w:leader="none" w:pos="1140"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157" w:lineRule="exact"/>
        <w:rPr>
          <w:rFonts w:ascii="Times New Roman" w:cs="Times New Roman" w:eastAsia="Times New Roman" w:hAnsi="Times New Roman"/>
          <w:sz w:val="18"/>
          <w:szCs w:val="18"/>
          <w:color w:val="auto"/>
        </w:rPr>
      </w:pPr>
    </w:p>
    <w:p>
      <w:pPr>
        <w:ind w:left="1140" w:right="300" w:hanging="232"/>
        <w:spacing w:after="0" w:line="282" w:lineRule="auto"/>
        <w:tabs>
          <w:tab w:leader="none" w:pos="1124"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-2705735</wp:posOffset>
            </wp:positionV>
            <wp:extent cx="207645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076450" cy="8255"/>
                    </a:xfrm>
                    <a:prstGeom prst="rect">
                      <a:avLst/>
                    </a:prstGeom>
                    <a:noFill/>
                  </pic:spPr>
                </pic:pic>
              </a:graphicData>
            </a:graphic>
          </wp:anchor>
        </w:drawing>
      </w:r>
    </w:p>
    <w:p>
      <w:pPr>
        <w:spacing w:after="0" w:line="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309" w:name="page310"/>
    <w:bookmarkEnd w:id="309"/>
    <w:p>
      <w:pPr>
        <w:ind w:left="-20" w:firstLine="332"/>
        <w:spacing w:after="0" w:line="253" w:lineRule="auto"/>
        <w:tabs>
          <w:tab w:leader="none" w:pos="60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Exercise; Extension of Exercisability</w:t>
      </w:r>
      <w:r>
        <w:rPr>
          <w:rFonts w:ascii="Times New Roman" w:cs="Times New Roman" w:eastAsia="Times New Roman" w:hAnsi="Times New Roman"/>
          <w:sz w:val="18"/>
          <w:szCs w:val="18"/>
          <w:color w:val="auto"/>
        </w:rPr>
        <w:t>. A Participant may not exercise an Option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(x) the exercise of the Participant’s Option would be prohibited solely because the issuance of shares of Common Stock upon such exercise would violate Applicable Law, or (y)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13"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 Shares. Options may be exercised only with respect to whole shares of Common Stock or their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-7620</wp:posOffset>
            </wp:positionV>
            <wp:extent cx="63754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37540" cy="8255"/>
                    </a:xfrm>
                    <a:prstGeom prst="rect">
                      <a:avLst/>
                    </a:prstGeom>
                    <a:noFill/>
                  </pic:spPr>
                </pic:pic>
              </a:graphicData>
            </a:graphic>
          </wp:anchor>
        </w:drawing>
      </w:r>
    </w:p>
    <w:p>
      <w:pPr>
        <w:spacing w:after="0" w:line="134" w:lineRule="exact"/>
        <w:rPr>
          <w:sz w:val="20"/>
          <w:szCs w:val="20"/>
          <w:color w:val="auto"/>
        </w:rPr>
      </w:pPr>
    </w:p>
    <w:p>
      <w:pPr>
        <w:ind w:left="-20" w:right="80" w:firstLine="332"/>
        <w:spacing w:after="0" w:line="262" w:lineRule="auto"/>
        <w:tabs>
          <w:tab w:leader="none" w:pos="614"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APPRECIATION RIGHTS</w:t>
      </w:r>
      <w:r>
        <w:rPr>
          <w:rFonts w:ascii="Times New Roman" w:cs="Times New Roman" w:eastAsia="Times New Roman" w:hAnsi="Times New Roman"/>
          <w:sz w:val="18"/>
          <w:szCs w:val="18"/>
          <w:color w:val="auto"/>
        </w:rPr>
        <w:t>. Each SAR will have such terms and conditions as determined by the Board. Each SAR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denominated in shares of Common Stock equivalents. The terms and conditions of separate SARs need not be identical; provided, however, that each SAR Agreement will conform (through incorporation of provisions hereof by reference in the Award Agreement or otherwise) to the substance of each of the following provisions:</w:t>
      </w:r>
    </w:p>
    <w:p>
      <w:pPr>
        <w:spacing w:after="0" w:line="113" w:lineRule="exact"/>
        <w:rPr>
          <w:sz w:val="20"/>
          <w:szCs w:val="20"/>
          <w:color w:val="auto"/>
        </w:rPr>
      </w:pPr>
    </w:p>
    <w:p>
      <w:pPr>
        <w:ind w:left="-20" w:right="380" w:firstLine="332"/>
        <w:spacing w:after="0" w:line="282" w:lineRule="auto"/>
        <w:tabs>
          <w:tab w:leader="none" w:pos="59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No SAR will be exercisable after the expiration of ten years from the date of grant of such Award or such shorter period specified in the Award Agreement.</w:t>
      </w:r>
    </w:p>
    <w:p>
      <w:pPr>
        <w:spacing w:after="0" w:line="80" w:lineRule="exact"/>
        <w:rPr>
          <w:rFonts w:ascii="Times New Roman" w:cs="Times New Roman" w:eastAsia="Times New Roman" w:hAnsi="Times New Roman"/>
          <w:sz w:val="18"/>
          <w:szCs w:val="18"/>
          <w:color w:val="auto"/>
        </w:rPr>
      </w:pPr>
    </w:p>
    <w:p>
      <w:pPr>
        <w:ind w:left="-20" w:right="120" w:firstLine="332"/>
        <w:spacing w:after="0" w:line="282" w:lineRule="auto"/>
        <w:tabs>
          <w:tab w:leader="none" w:pos="60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or Strike Price</w:t>
      </w:r>
      <w:r>
        <w:rPr>
          <w:rFonts w:ascii="Times New Roman" w:cs="Times New Roman" w:eastAsia="Times New Roman" w:hAnsi="Times New Roman"/>
          <w:sz w:val="18"/>
          <w:szCs w:val="18"/>
          <w:color w:val="auto"/>
        </w:rPr>
        <w:t>. Subject to Section 3(b) regarding Ten Percent Stockholders, the exercise or strike price of each SAR will not be less than 100% of the Fair Market Value on the date of grant of such Award.</w:t>
      </w:r>
    </w:p>
    <w:p>
      <w:pPr>
        <w:spacing w:after="0" w:line="94" w:lineRule="exact"/>
        <w:rPr>
          <w:rFonts w:ascii="Times New Roman" w:cs="Times New Roman" w:eastAsia="Times New Roman" w:hAnsi="Times New Roman"/>
          <w:sz w:val="18"/>
          <w:szCs w:val="18"/>
          <w:color w:val="auto"/>
        </w:rPr>
      </w:pPr>
    </w:p>
    <w:p>
      <w:pPr>
        <w:ind w:left="-20" w:right="60" w:firstLine="332"/>
        <w:spacing w:after="0" w:line="256" w:lineRule="auto"/>
        <w:tabs>
          <w:tab w:leader="none" w:pos="59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 and Payment of Appreciation Distribution for SARs</w:t>
      </w:r>
      <w:r>
        <w:rPr>
          <w:rFonts w:ascii="Times New Roman" w:cs="Times New Roman" w:eastAsia="Times New Roman" w:hAnsi="Times New Roman"/>
          <w:sz w:val="18"/>
          <w:szCs w:val="18"/>
          <w:color w:val="auto"/>
        </w:rPr>
        <w:t>.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(x) the aggregate Fair Market Value on the date of exercise of a number of shares of Common Stock equal to the number of Common Stock equivalents that are vested and being exercised under such SAR, over (y)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19" w:lineRule="exact"/>
        <w:rPr>
          <w:rFonts w:ascii="Times New Roman" w:cs="Times New Roman" w:eastAsia="Times New Roman" w:hAnsi="Times New Roman"/>
          <w:sz w:val="18"/>
          <w:szCs w:val="18"/>
          <w:color w:val="auto"/>
        </w:rPr>
      </w:pPr>
    </w:p>
    <w:p>
      <w:pPr>
        <w:ind w:left="-20" w:right="20" w:firstLine="332"/>
        <w:spacing w:after="0" w:line="266" w:lineRule="auto"/>
        <w:tabs>
          <w:tab w:leader="none" w:pos="60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The Board may impose such limitations on the transferability of an SAR as it determines. In the absence of any such determination by the Board, the following restrictions on the transferability of SARs will apply, provided that except as explicitly provided herein, no SAR may be transferred for consideration:</w:t>
      </w:r>
    </w:p>
    <w:p>
      <w:pPr>
        <w:spacing w:after="0" w:line="94" w:lineRule="exact"/>
        <w:rPr>
          <w:rFonts w:ascii="Times New Roman" w:cs="Times New Roman" w:eastAsia="Times New Roman" w:hAnsi="Times New Roman"/>
          <w:sz w:val="18"/>
          <w:szCs w:val="18"/>
          <w:color w:val="auto"/>
        </w:rPr>
      </w:pPr>
    </w:p>
    <w:p>
      <w:pPr>
        <w:ind w:left="960" w:right="40" w:hanging="234"/>
        <w:spacing w:after="0" w:line="258" w:lineRule="auto"/>
        <w:tabs>
          <w:tab w:leader="none" w:pos="956"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xml:space="preserve">. An SAR will not be transferable, except by will or by the laws of descent and distribution, and will be exercisable during the lifetime of the Participant only by the Participant;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Board may permit transfer of an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SAR is held in such trust, provided that the Participant and the trustee enter into a transfer and other agreements required by the Company.</w:t>
      </w:r>
    </w:p>
    <w:p>
      <w:pPr>
        <w:spacing w:after="0" w:line="115" w:lineRule="exact"/>
        <w:rPr>
          <w:rFonts w:ascii="Times New Roman" w:cs="Times New Roman" w:eastAsia="Times New Roman" w:hAnsi="Times New Roman"/>
          <w:sz w:val="18"/>
          <w:szCs w:val="18"/>
          <w:color w:val="auto"/>
        </w:rPr>
      </w:pPr>
    </w:p>
    <w:p>
      <w:pPr>
        <w:jc w:val="both"/>
        <w:ind w:left="960" w:right="200" w:hanging="234"/>
        <w:spacing w:after="0" w:line="266" w:lineRule="auto"/>
        <w:tabs>
          <w:tab w:leader="none" w:pos="961"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Domestic Relations Orders</w:t>
      </w:r>
      <w:r>
        <w:rPr>
          <w:rFonts w:ascii="Times New Roman" w:cs="Times New Roman" w:eastAsia="Times New Roman" w:hAnsi="Times New Roman"/>
          <w:sz w:val="18"/>
          <w:szCs w:val="18"/>
          <w:color w:val="auto"/>
        </w:rPr>
        <w:t>. Notwithstanding the foregoing, subject to the execution of transfer documentation in a format acceptable to the Company and subject to the approval of the Board or a duly authorized Officer, an SAR may be transferred pursuant to a domestic relations order.</w:t>
      </w:r>
    </w:p>
    <w:p>
      <w:pPr>
        <w:spacing w:after="0" w:line="108" w:lineRule="exact"/>
        <w:rPr>
          <w:rFonts w:ascii="Times New Roman" w:cs="Times New Roman" w:eastAsia="Times New Roman" w:hAnsi="Times New Roman"/>
          <w:sz w:val="18"/>
          <w:szCs w:val="18"/>
          <w:color w:val="auto"/>
        </w:rPr>
      </w:pPr>
    </w:p>
    <w:p>
      <w:pPr>
        <w:ind w:left="-20" w:right="100" w:firstLine="332"/>
        <w:spacing w:after="0" w:line="266" w:lineRule="auto"/>
        <w:tabs>
          <w:tab w:leader="none" w:pos="59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Board may impose such restrictions on or conditions to the vesting and/or exercisability of an SAR as determined by the Board. Except as otherwise provided in the Award Agreement or other written agreement between a Participant and the Company or an Affiliate, vesting of SARs will cease upon termination of the Participant’s Continuous Service.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310" w:name="page311"/>
    <w:bookmarkEnd w:id="310"/>
    <w:p>
      <w:pPr>
        <w:ind w:right="100" w:firstLine="332"/>
        <w:spacing w:after="0" w:line="277" w:lineRule="auto"/>
        <w:tabs>
          <w:tab w:leader="none" w:pos="639"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Continuous Service for Cause. Except as explicitly otherwise provided in the Award Agreement or other written agreement between a Participant and the Company or an Affiliate, if a Participant’s Continuous Service is terminated for Cause, the Participant’s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86" w:lineRule="exact"/>
        <w:rPr>
          <w:rFonts w:ascii="Times New Roman" w:cs="Times New Roman" w:eastAsia="Times New Roman" w:hAnsi="Times New Roman"/>
          <w:sz w:val="17"/>
          <w:szCs w:val="17"/>
          <w:color w:val="auto"/>
        </w:rPr>
      </w:pPr>
    </w:p>
    <w:p>
      <w:pPr>
        <w:ind w:right="20" w:firstLine="332"/>
        <w:spacing w:after="0" w:line="258" w:lineRule="auto"/>
        <w:tabs>
          <w:tab w:leader="none" w:pos="62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Post-Termination Exercise Period Following Termination of Continuous Service for Reasons Other than Cause</w:t>
      </w:r>
      <w:r>
        <w:rPr>
          <w:rFonts w:ascii="Times New Roman" w:cs="Times New Roman" w:eastAsia="Times New Roman" w:hAnsi="Times New Roman"/>
          <w:sz w:val="18"/>
          <w:szCs w:val="18"/>
          <w:color w:val="auto"/>
        </w:rPr>
        <w:t xml:space="preserve">. Subject to Section 5(h), if a Participant’s Continuous Service terminates for any reason other than for Cause, the Participant may exercise his or her SARs to the extent vested, but only within the following period of time or, if applicable, such other period of time provided in the Award Agreement or other written agreement between a Participant and the Company or an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no event may such Award be exercised after the expiration of its maximum term (as set forth in Section 5(a) above):</w:t>
      </w:r>
    </w:p>
    <w:p>
      <w:pPr>
        <w:spacing w:after="0" w:line="115"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3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94"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144"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15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4"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-2559685</wp:posOffset>
            </wp:positionV>
            <wp:extent cx="207645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076450" cy="8255"/>
                    </a:xfrm>
                    <a:prstGeom prst="rect">
                      <a:avLst/>
                    </a:prstGeom>
                    <a:noFill/>
                  </pic:spPr>
                </pic:pic>
              </a:graphicData>
            </a:graphic>
          </wp:anchor>
        </w:drawing>
      </w:r>
    </w:p>
    <w:p>
      <w:pPr>
        <w:spacing w:after="0" w:line="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99" w:lineRule="exact"/>
        <w:rPr>
          <w:sz w:val="20"/>
          <w:szCs w:val="20"/>
          <w:color w:val="auto"/>
        </w:rPr>
      </w:pPr>
    </w:p>
    <w:p>
      <w:pPr>
        <w:ind w:firstLine="332"/>
        <w:spacing w:after="0" w:line="253" w:lineRule="auto"/>
        <w:tabs>
          <w:tab w:leader="none" w:pos="62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Exercise; Extension of Exercisability</w:t>
      </w:r>
      <w:r>
        <w:rPr>
          <w:rFonts w:ascii="Times New Roman" w:cs="Times New Roman" w:eastAsia="Times New Roman" w:hAnsi="Times New Roman"/>
          <w:sz w:val="18"/>
          <w:szCs w:val="18"/>
          <w:color w:val="auto"/>
        </w:rPr>
        <w:t>. A Participant may not exercise an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5(a)).</w:t>
      </w:r>
    </w:p>
    <w:p>
      <w:pPr>
        <w:spacing w:after="0" w:line="12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 Shares. Options and SARs may be exercised only with respect to whole shares of Common Stock or their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-7620</wp:posOffset>
            </wp:positionV>
            <wp:extent cx="63754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3754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11" w:name="page312"/>
    <w:bookmarkEnd w:id="311"/>
    <w:p>
      <w:pPr>
        <w:ind w:left="30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RESTRICTED STOCK AND RESTRICTED STOCK UNITS</w:t>
      </w:r>
    </w:p>
    <w:p>
      <w:pPr>
        <w:spacing w:after="0" w:line="146" w:lineRule="exact"/>
        <w:rPr>
          <w:sz w:val="20"/>
          <w:szCs w:val="20"/>
          <w:color w:val="auto"/>
        </w:rPr>
      </w:pPr>
    </w:p>
    <w:p>
      <w:pPr>
        <w:jc w:val="both"/>
        <w:ind w:left="-40" w:right="140" w:firstLine="332"/>
        <w:spacing w:after="0" w:line="267" w:lineRule="auto"/>
        <w:tabs>
          <w:tab w:leader="none" w:pos="57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 xml:space="preserve">. Each Restricted Stock Award will have such terms and conditions as determined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each Restricted Stock Award Agreement will conform (through incorporation of the provisions hereof by reference in the Award Agreement or otherwise) to the substance of each of the following provisions:</w:t>
      </w:r>
    </w:p>
    <w:p>
      <w:pPr>
        <w:spacing w:after="0" w:line="107" w:lineRule="exact"/>
        <w:rPr>
          <w:rFonts w:ascii="Times New Roman" w:cs="Times New Roman" w:eastAsia="Times New Roman" w:hAnsi="Times New Roman"/>
          <w:sz w:val="18"/>
          <w:szCs w:val="18"/>
          <w:color w:val="auto"/>
        </w:rPr>
      </w:pPr>
    </w:p>
    <w:p>
      <w:pPr>
        <w:ind w:left="940" w:hanging="234"/>
        <w:spacing w:after="0" w:line="258" w:lineRule="auto"/>
        <w:tabs>
          <w:tab w:leader="none" w:pos="93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Award</w:t>
      </w:r>
      <w:r>
        <w:rPr>
          <w:rFonts w:ascii="Times New Roman" w:cs="Times New Roman" w:eastAsia="Times New Roman" w:hAnsi="Times New Roman"/>
          <w:sz w:val="18"/>
          <w:szCs w:val="18"/>
          <w:color w:val="auto"/>
        </w:rPr>
        <w:t>.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15" w:lineRule="exact"/>
        <w:rPr>
          <w:rFonts w:ascii="Times New Roman" w:cs="Times New Roman" w:eastAsia="Times New Roman" w:hAnsi="Times New Roman"/>
          <w:sz w:val="18"/>
          <w:szCs w:val="18"/>
          <w:color w:val="auto"/>
        </w:rPr>
      </w:pPr>
    </w:p>
    <w:p>
      <w:pPr>
        <w:jc w:val="both"/>
        <w:ind w:left="940" w:right="280" w:hanging="234"/>
        <w:spacing w:after="0" w:line="266" w:lineRule="auto"/>
        <w:tabs>
          <w:tab w:leader="none" w:pos="94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94" w:lineRule="exact"/>
        <w:rPr>
          <w:rFonts w:ascii="Times New Roman" w:cs="Times New Roman" w:eastAsia="Times New Roman" w:hAnsi="Times New Roman"/>
          <w:sz w:val="18"/>
          <w:szCs w:val="18"/>
          <w:color w:val="auto"/>
        </w:rPr>
      </w:pPr>
    </w:p>
    <w:p>
      <w:pPr>
        <w:jc w:val="both"/>
        <w:ind w:left="940" w:right="340" w:hanging="234"/>
        <w:spacing w:after="0" w:line="266" w:lineRule="auto"/>
        <w:tabs>
          <w:tab w:leader="none" w:pos="94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Board may impose such restrictions on or conditions to the vesting of a Restricted Stock Award as determined by the Board. Except as otherwise provided in the Award Agreement or other written agreement between a Participant and the Company or an Affiliate, vesting of Restricted Stock Awards will cease upon termination of the Participant’s Continuous Service.</w:t>
      </w:r>
    </w:p>
    <w:p>
      <w:pPr>
        <w:spacing w:after="0" w:line="108" w:lineRule="exact"/>
        <w:rPr>
          <w:rFonts w:ascii="Times New Roman" w:cs="Times New Roman" w:eastAsia="Times New Roman" w:hAnsi="Times New Roman"/>
          <w:sz w:val="18"/>
          <w:szCs w:val="18"/>
          <w:color w:val="auto"/>
        </w:rPr>
      </w:pPr>
    </w:p>
    <w:p>
      <w:pPr>
        <w:ind w:left="940" w:right="140" w:hanging="234"/>
        <w:spacing w:after="0" w:line="261" w:lineRule="auto"/>
        <w:tabs>
          <w:tab w:leader="none" w:pos="924"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Continuous Service</w:t>
      </w:r>
      <w:r>
        <w:rPr>
          <w:rFonts w:ascii="Times New Roman" w:cs="Times New Roman" w:eastAsia="Times New Roman" w:hAnsi="Times New Roman"/>
          <w:sz w:val="18"/>
          <w:szCs w:val="18"/>
          <w:color w:val="auto"/>
        </w:rPr>
        <w:t>. Except as otherwise provided in the Award Agreement or other written agreement between a Participant and the Company or an Affiliate, if a Participant’s Continuous Service terminates for any reason,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w:t>
      </w:r>
    </w:p>
    <w:p>
      <w:pPr>
        <w:spacing w:after="0" w:line="112" w:lineRule="exact"/>
        <w:rPr>
          <w:rFonts w:ascii="Times New Roman" w:cs="Times New Roman" w:eastAsia="Times New Roman" w:hAnsi="Times New Roman"/>
          <w:sz w:val="18"/>
          <w:szCs w:val="18"/>
          <w:color w:val="auto"/>
        </w:rPr>
      </w:pPr>
    </w:p>
    <w:p>
      <w:pPr>
        <w:ind w:left="940" w:right="80" w:hanging="234"/>
        <w:spacing w:after="0" w:line="256" w:lineRule="auto"/>
        <w:tabs>
          <w:tab w:leader="none" w:pos="919"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Dividends may be paid or credited, as applicable, with respect to any shares of Common Stock subject to a Restricted Stock Award, as determined by the Board and specified in the Award Agreement; provided, however, that (i) any dividends that are credited with respect to any such shares will be subject to all of the terms and conditions applicable to such shares under the terms of such Award Agreement (including, but not limited to, any vesting conditions), and (ii) any dividends that are credited with respect to any such shares will be forfeited to the Company on the date, if any, such shares are forfeited to or repurchased by the Company due to a failure to meet any vesting conditions under the terms of such Award Agreement.</w:t>
      </w:r>
    </w:p>
    <w:p>
      <w:pPr>
        <w:spacing w:after="0" w:line="106" w:lineRule="exact"/>
        <w:rPr>
          <w:rFonts w:ascii="Times New Roman" w:cs="Times New Roman" w:eastAsia="Times New Roman" w:hAnsi="Times New Roman"/>
          <w:sz w:val="18"/>
          <w:szCs w:val="18"/>
          <w:color w:val="auto"/>
        </w:rPr>
      </w:pPr>
    </w:p>
    <w:p>
      <w:pPr>
        <w:ind w:left="-40" w:right="140" w:firstLine="332"/>
        <w:spacing w:after="0" w:line="266" w:lineRule="auto"/>
        <w:tabs>
          <w:tab w:leader="none" w:pos="58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 Awards</w:t>
      </w:r>
      <w:r>
        <w:rPr>
          <w:rFonts w:ascii="Times New Roman" w:cs="Times New Roman" w:eastAsia="Times New Roman" w:hAnsi="Times New Roman"/>
          <w:sz w:val="18"/>
          <w:szCs w:val="18"/>
          <w:color w:val="auto"/>
        </w:rPr>
        <w:t>. Each RSU Award will have such terms and conditions as determined by the Board; provided, however, that each RSU Award Agreement will conform (through incorporation of the provisions hereof by reference in the Award Agreement or otherwise) to the substance of each of the following provisions:</w:t>
      </w:r>
    </w:p>
    <w:p>
      <w:pPr>
        <w:spacing w:after="0" w:line="108" w:lineRule="exact"/>
        <w:rPr>
          <w:rFonts w:ascii="Times New Roman" w:cs="Times New Roman" w:eastAsia="Times New Roman" w:hAnsi="Times New Roman"/>
          <w:sz w:val="18"/>
          <w:szCs w:val="18"/>
          <w:color w:val="auto"/>
        </w:rPr>
      </w:pPr>
    </w:p>
    <w:p>
      <w:pPr>
        <w:ind w:left="940" w:hanging="234"/>
        <w:spacing w:after="0" w:line="255" w:lineRule="auto"/>
        <w:tabs>
          <w:tab w:leader="none" w:pos="93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Award</w:t>
      </w:r>
      <w:r>
        <w:rPr>
          <w:rFonts w:ascii="Times New Roman" w:cs="Times New Roman" w:eastAsia="Times New Roman" w:hAnsi="Times New Roman"/>
          <w:sz w:val="18"/>
          <w:szCs w:val="18"/>
          <w:color w:val="auto"/>
        </w:rPr>
        <w:t>.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21" w:lineRule="exact"/>
        <w:rPr>
          <w:rFonts w:ascii="Times New Roman" w:cs="Times New Roman" w:eastAsia="Times New Roman" w:hAnsi="Times New Roman"/>
          <w:sz w:val="18"/>
          <w:szCs w:val="18"/>
          <w:color w:val="auto"/>
        </w:rPr>
      </w:pPr>
    </w:p>
    <w:p>
      <w:pPr>
        <w:ind w:left="940" w:right="100" w:hanging="234"/>
        <w:spacing w:after="0" w:line="256" w:lineRule="auto"/>
        <w:tabs>
          <w:tab w:leader="none" w:pos="94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617" w:right="359" w:bottom="1440" w:gutter="0" w:footer="0" w:header="0"/>
        </w:sectPr>
      </w:pPr>
    </w:p>
    <w:bookmarkStart w:id="312" w:name="page313"/>
    <w:bookmarkEnd w:id="312"/>
    <w:p>
      <w:pPr>
        <w:jc w:val="both"/>
        <w:ind w:left="940" w:right="320" w:hanging="234"/>
        <w:spacing w:after="0" w:line="266" w:lineRule="auto"/>
        <w:tabs>
          <w:tab w:leader="none" w:pos="94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Board may impose such restrictions on or conditions to the vesting of an RSU Award as determined by the Board. Except as otherwise provided in the Award Agreement or other written agreement between a Participant and the Company or an Affiliate, vesting of RSU Awards will cease upon termination of the Participant’s Continuous Service.</w:t>
      </w:r>
    </w:p>
    <w:p>
      <w:pPr>
        <w:spacing w:after="0" w:line="94" w:lineRule="exact"/>
        <w:rPr>
          <w:rFonts w:ascii="Times New Roman" w:cs="Times New Roman" w:eastAsia="Times New Roman" w:hAnsi="Times New Roman"/>
          <w:sz w:val="18"/>
          <w:szCs w:val="18"/>
          <w:color w:val="auto"/>
        </w:rPr>
      </w:pPr>
    </w:p>
    <w:p>
      <w:pPr>
        <w:ind w:left="940" w:right="140" w:hanging="234"/>
        <w:spacing w:after="0" w:line="261" w:lineRule="auto"/>
        <w:tabs>
          <w:tab w:leader="none" w:pos="92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Continuous Service</w:t>
      </w:r>
      <w:r>
        <w:rPr>
          <w:rFonts w:ascii="Times New Roman" w:cs="Times New Roman" w:eastAsia="Times New Roman" w:hAnsi="Times New Roman"/>
          <w:sz w:val="18"/>
          <w:szCs w:val="18"/>
          <w:color w:val="auto"/>
        </w:rPr>
        <w:t>. Except as otherwise provided in the Award Agreement or other written agreement between a Participant and the Company or an Affiliate, if a Participant’s Continuous Service terminates for any reason,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12" w:lineRule="exact"/>
        <w:rPr>
          <w:rFonts w:ascii="Times New Roman" w:cs="Times New Roman" w:eastAsia="Times New Roman" w:hAnsi="Times New Roman"/>
          <w:sz w:val="18"/>
          <w:szCs w:val="18"/>
          <w:color w:val="auto"/>
        </w:rPr>
      </w:pPr>
    </w:p>
    <w:p>
      <w:pPr>
        <w:ind w:left="940" w:right="120" w:hanging="234"/>
        <w:spacing w:after="0" w:line="254" w:lineRule="auto"/>
        <w:tabs>
          <w:tab w:leader="none" w:pos="91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xml:space="preserve">. Dividend equivalents may be paid or credited, as applicable, with respect to any shares of Common Stock subject to a RSU Award, as determined by the Board and specified in the Award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 no dividend equivalents may be paid with respect to any such shares subject to an RSU Award before the date such shares have vested under the terms of such Award Agreement, (ii) any dividend equivalents that are credited with respect to any such shares will be subject to all of the terms and conditions applicable to such RSU Award and the covered shares under the terms of such Award Agreement (including, but not limited to, any vesting conditions), and (iii) any dividend equivalents that are credited with respect to any such shares subject to an RSU Award will be forfeited to the Company on the date, if any, such RSU Award is forfeited to by the Company due to a failure to meet any vesting conditions under the terms of such Award Agreement.</w:t>
      </w:r>
    </w:p>
    <w:p>
      <w:pPr>
        <w:spacing w:after="0" w:line="124" w:lineRule="exact"/>
        <w:rPr>
          <w:rFonts w:ascii="Times New Roman" w:cs="Times New Roman" w:eastAsia="Times New Roman" w:hAnsi="Times New Roman"/>
          <w:sz w:val="18"/>
          <w:szCs w:val="18"/>
          <w:color w:val="auto"/>
        </w:rPr>
      </w:pPr>
    </w:p>
    <w:p>
      <w:pPr>
        <w:ind w:left="940" w:hanging="234"/>
        <w:spacing w:after="0" w:line="266" w:lineRule="auto"/>
        <w:tabs>
          <w:tab w:leader="none" w:pos="93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RSU Awards</w:t>
      </w:r>
      <w:r>
        <w:rPr>
          <w:rFonts w:ascii="Times New Roman" w:cs="Times New Roman" w:eastAsia="Times New Roman" w:hAnsi="Times New Roman"/>
          <w:sz w:val="18"/>
          <w:szCs w:val="18"/>
          <w:color w:val="auto"/>
        </w:rPr>
        <w:t>. A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95" w:lineRule="exact"/>
        <w:rPr>
          <w:sz w:val="20"/>
          <w:szCs w:val="20"/>
          <w:color w:val="auto"/>
        </w:rPr>
      </w:pPr>
    </w:p>
    <w:p>
      <w:pPr>
        <w:ind w:left="940" w:hanging="233"/>
        <w:spacing w:after="0" w:line="256" w:lineRule="auto"/>
        <w:rPr>
          <w:sz w:val="20"/>
          <w:szCs w:val="20"/>
          <w:color w:val="auto"/>
        </w:rPr>
      </w:pPr>
      <w:r>
        <w:rPr>
          <w:rFonts w:ascii="Times New Roman" w:cs="Times New Roman" w:eastAsia="Times New Roman" w:hAnsi="Times New Roman"/>
          <w:sz w:val="18"/>
          <w:szCs w:val="18"/>
          <w:color w:val="auto"/>
        </w:rPr>
        <w:t>vii.</w:t>
      </w:r>
      <w:r>
        <w:rPr>
          <w:rFonts w:ascii="Times New Roman" w:cs="Times New Roman" w:eastAsia="Times New Roman" w:hAnsi="Times New Roman"/>
          <w:sz w:val="18"/>
          <w:szCs w:val="18"/>
          <w:u w:val="single" w:color="auto"/>
          <w:color w:val="auto"/>
        </w:rPr>
        <w:t>Compliance with Section 409A of the Code</w:t>
      </w:r>
      <w:r>
        <w:rPr>
          <w:rFonts w:ascii="Times New Roman" w:cs="Times New Roman" w:eastAsia="Times New Roman" w:hAnsi="Times New Roman"/>
          <w:sz w:val="18"/>
          <w:szCs w:val="18"/>
          <w:color w:val="auto"/>
        </w:rPr>
        <w:t>. Notwithstanding anything to the contrary set forth herein, any RSU Award granted under the Plan that is not exempt from the requirements of Section 409A of the Code shall contain such provisions so that such RSU Award will comply with the requirements of Section 409A of the Code. Such restrictions, if any, shall be determined by the Board and contained in the Award Agreement evidencing such RSU Award. For example, such restrictions may include, without limitation, a requirement that any Common Stock that is to be issued in a year following the year in which the RSU Award vests must be issued in accordance with a fixed pre-determined schedule.</w:t>
      </w:r>
    </w:p>
    <w:p>
      <w:pPr>
        <w:spacing w:after="0" w:line="120" w:lineRule="exact"/>
        <w:rPr>
          <w:sz w:val="20"/>
          <w:szCs w:val="20"/>
          <w:color w:val="auto"/>
        </w:rPr>
      </w:pPr>
    </w:p>
    <w:p>
      <w:pPr>
        <w:ind w:left="-40" w:right="200" w:firstLine="332"/>
        <w:spacing w:after="0" w:line="282" w:lineRule="auto"/>
        <w:tabs>
          <w:tab w:leader="none" w:pos="57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and Performance Vesting</w:t>
      </w:r>
      <w:r>
        <w:rPr>
          <w:rFonts w:ascii="Times New Roman" w:cs="Times New Roman" w:eastAsia="Times New Roman" w:hAnsi="Times New Roman"/>
          <w:sz w:val="18"/>
          <w:szCs w:val="18"/>
          <w:color w:val="auto"/>
        </w:rPr>
        <w:t>. The Committee, in its sole discretion, may impose such restrictions on the vesting of the Participant’s Restricted Stock Award or Restricted Stock Units as it may deem advisable or appropriate, in accordance with this Section 6(c).</w:t>
      </w:r>
    </w:p>
    <w:p>
      <w:pPr>
        <w:spacing w:after="0" w:line="94" w:lineRule="exact"/>
        <w:rPr>
          <w:rFonts w:ascii="Times New Roman" w:cs="Times New Roman" w:eastAsia="Times New Roman" w:hAnsi="Times New Roman"/>
          <w:sz w:val="18"/>
          <w:szCs w:val="18"/>
          <w:color w:val="auto"/>
        </w:rPr>
      </w:pPr>
    </w:p>
    <w:p>
      <w:pPr>
        <w:ind w:left="940" w:right="240" w:hanging="234"/>
        <w:spacing w:after="0" w:line="261" w:lineRule="auto"/>
        <w:tabs>
          <w:tab w:leader="none" w:pos="93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Vesting</w:t>
      </w:r>
      <w:r>
        <w:rPr>
          <w:rFonts w:ascii="Times New Roman" w:cs="Times New Roman" w:eastAsia="Times New Roman" w:hAnsi="Times New Roman"/>
          <w:sz w:val="18"/>
          <w:szCs w:val="18"/>
          <w:color w:val="auto"/>
        </w:rPr>
        <w:t>. The Committee may condition the vesting of a Participant’s Restricted Stock Award or Restricted Stock Units upon the Participant’s continued performance of services for the Company through a specified vesting date or dates. If the Participant’s Continuous Service terminates before such vesting date, the relevant Restricted Stock Award and/or Restricted Stock Units shall be forfeited, except as may otherwise be provided in the Award Agreement.</w:t>
      </w:r>
    </w:p>
    <w:p>
      <w:pPr>
        <w:spacing w:after="0" w:line="98" w:lineRule="exact"/>
        <w:rPr>
          <w:rFonts w:ascii="Times New Roman" w:cs="Times New Roman" w:eastAsia="Times New Roman" w:hAnsi="Times New Roman"/>
          <w:sz w:val="18"/>
          <w:szCs w:val="18"/>
          <w:color w:val="auto"/>
        </w:rPr>
      </w:pPr>
    </w:p>
    <w:p>
      <w:pPr>
        <w:ind w:left="940" w:right="60" w:hanging="234"/>
        <w:spacing w:after="0" w:line="266" w:lineRule="auto"/>
        <w:tabs>
          <w:tab w:leader="none" w:pos="941"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Vesting</w:t>
      </w:r>
      <w:r>
        <w:rPr>
          <w:rFonts w:ascii="Times New Roman" w:cs="Times New Roman" w:eastAsia="Times New Roman" w:hAnsi="Times New Roman"/>
          <w:sz w:val="18"/>
          <w:szCs w:val="18"/>
          <w:color w:val="auto"/>
        </w:rPr>
        <w:t>. Alternatively, the Committee may, in its discretion, condition the vesting of all or a portion of the Participant’s Restricted Stock Award or Restricted Stock Units upon completion of based upon the achievement of specific Performance Goals (Company-wide, divisional, or individual) or any other basis determined by the Committee in its discretion.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621" w:right="359" w:bottom="1440" w:gutter="0" w:footer="0" w:header="0"/>
        </w:sectPr>
      </w:pPr>
    </w:p>
    <w:bookmarkStart w:id="313" w:name="page314"/>
    <w:bookmarkEnd w:id="313"/>
    <w:p>
      <w:pPr>
        <w:ind w:left="-40" w:right="120" w:firstLine="332"/>
        <w:spacing w:after="0" w:line="266" w:lineRule="auto"/>
        <w:tabs>
          <w:tab w:leader="none" w:pos="58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With respect to any RSU Award or other Award designated as a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w:t>
      </w:r>
    </w:p>
    <w:p>
      <w:pPr>
        <w:spacing w:after="0" w:line="94" w:lineRule="exact"/>
        <w:rPr>
          <w:rFonts w:ascii="Times New Roman" w:cs="Times New Roman" w:eastAsia="Times New Roman" w:hAnsi="Times New Roman"/>
          <w:sz w:val="18"/>
          <w:szCs w:val="18"/>
          <w:color w:val="auto"/>
        </w:rPr>
      </w:pPr>
    </w:p>
    <w:p>
      <w:pPr>
        <w:ind w:left="-40" w:firstLine="332"/>
        <w:spacing w:after="0" w:line="256" w:lineRule="auto"/>
        <w:tabs>
          <w:tab w:leader="none" w:pos="57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16" w:lineRule="exact"/>
        <w:rPr>
          <w:sz w:val="20"/>
          <w:szCs w:val="20"/>
          <w:color w:val="auto"/>
        </w:rPr>
      </w:pPr>
    </w:p>
    <w:p>
      <w:pPr>
        <w:ind w:left="30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ADJUSTMENTS UPON CHANGES IN COMMON STOCK; OTHER CORPORATE EVENTS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40" w:right="60" w:firstLine="332"/>
        <w:spacing w:after="0" w:line="255" w:lineRule="auto"/>
        <w:tabs>
          <w:tab w:leader="none" w:pos="57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(x) the class(es) and maximum number of shares of Common Stock subject to the Plan pursuant to Section 2(a), (y) the class(es) and maximum number of shares that may be issued pursuant to the exercise of Incentive Stock Options pursuant to Section 2(a), and (z)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07" w:lineRule="exact"/>
        <w:rPr>
          <w:rFonts w:ascii="Times New Roman" w:cs="Times New Roman" w:eastAsia="Times New Roman" w:hAnsi="Times New Roman"/>
          <w:sz w:val="18"/>
          <w:szCs w:val="18"/>
          <w:color w:val="auto"/>
        </w:rPr>
      </w:pPr>
    </w:p>
    <w:p>
      <w:pPr>
        <w:ind w:left="-40" w:right="80" w:firstLine="332"/>
        <w:spacing w:after="0" w:line="255" w:lineRule="auto"/>
        <w:tabs>
          <w:tab w:leader="none" w:pos="58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21" w:lineRule="exact"/>
        <w:rPr>
          <w:rFonts w:ascii="Times New Roman" w:cs="Times New Roman" w:eastAsia="Times New Roman" w:hAnsi="Times New Roman"/>
          <w:sz w:val="18"/>
          <w:szCs w:val="18"/>
          <w:color w:val="auto"/>
        </w:rPr>
      </w:pPr>
    </w:p>
    <w:p>
      <w:pPr>
        <w:ind w:left="-40" w:right="200" w:firstLine="332"/>
        <w:spacing w:after="0" w:line="266" w:lineRule="auto"/>
        <w:tabs>
          <w:tab w:leader="none" w:pos="57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The following provisions will apply to Awards in the event of a Corporate Transaction unless otherwise provided in the instrument evidencing the Award or any other written agreement between the Company or any Affiliate and the Participant or unless otherwise expressly provided by the Board at the time of grant of an Award.</w:t>
      </w:r>
    </w:p>
    <w:p>
      <w:pPr>
        <w:spacing w:after="0" w:line="108" w:lineRule="exact"/>
        <w:rPr>
          <w:rFonts w:ascii="Times New Roman" w:cs="Times New Roman" w:eastAsia="Times New Roman" w:hAnsi="Times New Roman"/>
          <w:sz w:val="18"/>
          <w:szCs w:val="18"/>
          <w:color w:val="auto"/>
        </w:rPr>
      </w:pPr>
    </w:p>
    <w:p>
      <w:pPr>
        <w:ind w:left="940" w:hanging="234"/>
        <w:spacing w:after="0" w:line="272" w:lineRule="auto"/>
        <w:tabs>
          <w:tab w:leader="none" w:pos="936"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Awards May Be Assumed</w:t>
      </w:r>
      <w:r>
        <w:rPr>
          <w:rFonts w:ascii="Times New Roman" w:cs="Times New Roman" w:eastAsia="Times New Roman" w:hAnsi="Times New Roman"/>
          <w:sz w:val="17"/>
          <w:szCs w:val="17"/>
          <w:color w:val="auto"/>
        </w:rPr>
        <w:t>.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621" w:right="359" w:bottom="1440" w:gutter="0" w:footer="0" w:header="0"/>
        </w:sectPr>
      </w:pPr>
    </w:p>
    <w:bookmarkStart w:id="314" w:name="page315"/>
    <w:bookmarkEnd w:id="314"/>
    <w:p>
      <w:pPr>
        <w:ind w:left="960" w:hanging="234"/>
        <w:spacing w:after="0" w:line="252" w:lineRule="auto"/>
        <w:tabs>
          <w:tab w:leader="none" w:pos="961"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Held by Current Participants</w:t>
      </w:r>
      <w:r>
        <w:rPr>
          <w:rFonts w:ascii="Times New Roman" w:cs="Times New Roman" w:eastAsia="Times New Roman" w:hAnsi="Times New Roman"/>
          <w:sz w:val="18"/>
          <w:szCs w:val="18"/>
          <w:color w:val="auto"/>
        </w:rPr>
        <w:t>.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u w:val="single" w:color="auto"/>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114" w:lineRule="exact"/>
        <w:rPr>
          <w:rFonts w:ascii="Times New Roman" w:cs="Times New Roman" w:eastAsia="Times New Roman" w:hAnsi="Times New Roman"/>
          <w:sz w:val="18"/>
          <w:szCs w:val="18"/>
          <w:color w:val="auto"/>
        </w:rPr>
      </w:pPr>
    </w:p>
    <w:p>
      <w:pPr>
        <w:ind w:left="960" w:right="60" w:hanging="234"/>
        <w:spacing w:after="0" w:line="256" w:lineRule="auto"/>
        <w:tabs>
          <w:tab w:leader="none" w:pos="96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Held by Persons other than Current Participants</w:t>
      </w:r>
      <w:r>
        <w:rPr>
          <w:rFonts w:ascii="Times New Roman" w:cs="Times New Roman" w:eastAsia="Times New Roman" w:hAnsi="Times New Roman"/>
          <w:sz w:val="18"/>
          <w:szCs w:val="18"/>
          <w:color w:val="auto"/>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any reacquisition or repurchase rights held by the Company with respect to such Awards will not terminate and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be exercised notwithstanding the Corporate Transaction.</w:t>
      </w:r>
    </w:p>
    <w:p>
      <w:pPr>
        <w:spacing w:after="0" w:line="119" w:lineRule="exact"/>
        <w:rPr>
          <w:rFonts w:ascii="Times New Roman" w:cs="Times New Roman" w:eastAsia="Times New Roman" w:hAnsi="Times New Roman"/>
          <w:sz w:val="18"/>
          <w:szCs w:val="18"/>
          <w:color w:val="auto"/>
        </w:rPr>
      </w:pPr>
    </w:p>
    <w:p>
      <w:pPr>
        <w:ind w:left="960" w:right="80" w:hanging="234"/>
        <w:spacing w:after="0" w:line="254" w:lineRule="auto"/>
        <w:tabs>
          <w:tab w:leader="none" w:pos="944"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Awards in Lieu of Exercise</w:t>
      </w:r>
      <w:r>
        <w:rPr>
          <w:rFonts w:ascii="Times New Roman" w:cs="Times New Roman" w:eastAsia="Times New Roman" w:hAnsi="Times New Roman"/>
          <w:sz w:val="18"/>
          <w:szCs w:val="18"/>
          <w:color w:val="auto"/>
        </w:rPr>
        <w:t>.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For clarity, this payment may be zero ($0) if the value of the property is equal to or less than the exercise price payable by the holder. Payments under this provision may be delayed to the same extent that payment of consideration to the holders of the Company’s Common Stock in connection with the Corporate Transaction is delayed as a result of escrows, earn outs, holdbacks or any other contingencies</w:t>
      </w:r>
    </w:p>
    <w:p>
      <w:pPr>
        <w:spacing w:after="0" w:line="124" w:lineRule="exact"/>
        <w:rPr>
          <w:rFonts w:ascii="Times New Roman" w:cs="Times New Roman" w:eastAsia="Times New Roman" w:hAnsi="Times New Roman"/>
          <w:sz w:val="18"/>
          <w:szCs w:val="18"/>
          <w:color w:val="auto"/>
        </w:rPr>
      </w:pPr>
    </w:p>
    <w:p>
      <w:pPr>
        <w:ind w:left="-20" w:right="20" w:firstLine="332"/>
        <w:spacing w:after="0" w:line="261" w:lineRule="auto"/>
        <w:tabs>
          <w:tab w:leader="none" w:pos="60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Stockholder Representative</w:t>
      </w:r>
      <w:r>
        <w:rPr>
          <w:rFonts w:ascii="Times New Roman" w:cs="Times New Roman" w:eastAsia="Times New Roman" w:hAnsi="Times New Roman"/>
          <w:sz w:val="18"/>
          <w:szCs w:val="18"/>
          <w:color w:val="auto"/>
        </w:rPr>
        <w:t>.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98" w:lineRule="exact"/>
        <w:rPr>
          <w:rFonts w:ascii="Times New Roman" w:cs="Times New Roman" w:eastAsia="Times New Roman" w:hAnsi="Times New Roman"/>
          <w:sz w:val="18"/>
          <w:szCs w:val="18"/>
          <w:color w:val="auto"/>
        </w:rPr>
      </w:pPr>
    </w:p>
    <w:p>
      <w:pPr>
        <w:ind w:left="-20" w:firstLine="332"/>
        <w:spacing w:after="0" w:line="256" w:lineRule="auto"/>
        <w:tabs>
          <w:tab w:leader="none" w:pos="59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 on Right to Undertake Transactions</w:t>
      </w:r>
      <w:r>
        <w:rPr>
          <w:rFonts w:ascii="Times New Roman" w:cs="Times New Roman" w:eastAsia="Times New Roman" w:hAnsi="Times New Roman"/>
          <w:sz w:val="18"/>
          <w:szCs w:val="18"/>
          <w:color w:val="auto"/>
        </w:rPr>
        <w:t>.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16"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ADMINISTRATION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20" w:right="740" w:firstLine="332"/>
        <w:spacing w:after="0" w:line="282" w:lineRule="auto"/>
        <w:tabs>
          <w:tab w:leader="none" w:pos="59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by Compensation Committee</w:t>
      </w:r>
      <w:r>
        <w:rPr>
          <w:rFonts w:ascii="Times New Roman" w:cs="Times New Roman" w:eastAsia="Times New Roman" w:hAnsi="Times New Roman"/>
          <w:sz w:val="18"/>
          <w:szCs w:val="18"/>
          <w:color w:val="auto"/>
        </w:rPr>
        <w:t>. The Board, or as determined by the Board the Compensation Committee of the Board, will administer the Plan unless and until the Board delegates administration of the Plan to a different Committee or Committees of the Board.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315" w:name="page316"/>
    <w:bookmarkEnd w:id="315"/>
    <w:p>
      <w:pPr>
        <w:ind w:left="620" w:hanging="308"/>
        <w:spacing w:after="0"/>
        <w:tabs>
          <w:tab w:leader="none" w:pos="62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Committee</w:t>
      </w:r>
      <w:r>
        <w:rPr>
          <w:rFonts w:ascii="Times New Roman" w:cs="Times New Roman" w:eastAsia="Times New Roman" w:hAnsi="Times New Roman"/>
          <w:sz w:val="18"/>
          <w:szCs w:val="18"/>
          <w:color w:val="auto"/>
        </w:rPr>
        <w:t>. The Committee will have the power, subject to, and within the limitations of, the express provisions of the Plan:</w:t>
      </w:r>
    </w:p>
    <w:p>
      <w:pPr>
        <w:spacing w:after="0" w:line="144" w:lineRule="exact"/>
        <w:rPr>
          <w:rFonts w:ascii="Times New Roman" w:cs="Times New Roman" w:eastAsia="Times New Roman" w:hAnsi="Times New Roman"/>
          <w:sz w:val="18"/>
          <w:szCs w:val="18"/>
          <w:color w:val="auto"/>
        </w:rPr>
      </w:pPr>
    </w:p>
    <w:p>
      <w:pPr>
        <w:ind w:left="960" w:right="40" w:hanging="234"/>
        <w:spacing w:after="0" w:line="258" w:lineRule="auto"/>
        <w:tabs>
          <w:tab w:leader="none" w:pos="95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w:t>
      </w:r>
    </w:p>
    <w:p>
      <w:pPr>
        <w:spacing w:after="0" w:line="115" w:lineRule="exact"/>
        <w:rPr>
          <w:rFonts w:ascii="Times New Roman" w:cs="Times New Roman" w:eastAsia="Times New Roman" w:hAnsi="Times New Roman"/>
          <w:sz w:val="18"/>
          <w:szCs w:val="18"/>
          <w:color w:val="auto"/>
        </w:rPr>
      </w:pPr>
    </w:p>
    <w:p>
      <w:pPr>
        <w:ind w:left="960" w:right="180" w:hanging="234"/>
        <w:spacing w:after="0" w:line="266" w:lineRule="auto"/>
        <w:tabs>
          <w:tab w:leader="none" w:pos="958"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Committee, in the exercise of this power, may correct any defect, omission or inconsistency in the Plan or in any Award Agreement, in a manner and to the extent it deems necessary or expedient to make the Plan or Award fully effective.</w:t>
      </w:r>
    </w:p>
    <w:p>
      <w:pPr>
        <w:spacing w:after="0" w:line="108" w:lineRule="exact"/>
        <w:rPr>
          <w:rFonts w:ascii="Times New Roman" w:cs="Times New Roman" w:eastAsia="Times New Roman" w:hAnsi="Times New Roman"/>
          <w:sz w:val="18"/>
          <w:szCs w:val="18"/>
          <w:color w:val="auto"/>
        </w:rPr>
      </w:pPr>
    </w:p>
    <w:p>
      <w:pPr>
        <w:ind w:left="960" w:hanging="234"/>
        <w:spacing w:after="0"/>
        <w:tabs>
          <w:tab w:leader="none" w:pos="96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144" w:lineRule="exact"/>
        <w:rPr>
          <w:rFonts w:ascii="Times New Roman" w:cs="Times New Roman" w:eastAsia="Times New Roman" w:hAnsi="Times New Roman"/>
          <w:sz w:val="18"/>
          <w:szCs w:val="18"/>
          <w:color w:val="auto"/>
        </w:rPr>
      </w:pPr>
    </w:p>
    <w:p>
      <w:pPr>
        <w:ind w:left="1060" w:right="240" w:hanging="334"/>
        <w:spacing w:after="0" w:line="266" w:lineRule="auto"/>
        <w:tabs>
          <w:tab w:leader="none" w:pos="1067"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08" w:lineRule="exact"/>
        <w:rPr>
          <w:rFonts w:ascii="Times New Roman" w:cs="Times New Roman" w:eastAsia="Times New Roman" w:hAnsi="Times New Roman"/>
          <w:sz w:val="18"/>
          <w:szCs w:val="18"/>
          <w:color w:val="auto"/>
        </w:rPr>
      </w:pPr>
    </w:p>
    <w:p>
      <w:pPr>
        <w:ind w:left="1060" w:right="60" w:hanging="334"/>
        <w:spacing w:after="0" w:line="261" w:lineRule="auto"/>
        <w:tabs>
          <w:tab w:leader="none" w:pos="1071"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12" w:lineRule="exact"/>
        <w:rPr>
          <w:rFonts w:ascii="Times New Roman" w:cs="Times New Roman" w:eastAsia="Times New Roman" w:hAnsi="Times New Roman"/>
          <w:sz w:val="18"/>
          <w:szCs w:val="18"/>
          <w:color w:val="auto"/>
        </w:rPr>
      </w:pPr>
    </w:p>
    <w:p>
      <w:pPr>
        <w:ind w:left="1060" w:hanging="334"/>
        <w:spacing w:after="0" w:line="255" w:lineRule="auto"/>
        <w:tabs>
          <w:tab w:leader="none" w:pos="1038"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or Committee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a Participant’s rights under any Award will not be Materially Impaired by any such amendment unless (1) the Company requests the consent of the affected Participant, and</w:t>
      </w:r>
    </w:p>
    <w:p>
      <w:pPr>
        <w:spacing w:after="0" w:line="2"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such Participant consents in writing.</w:t>
      </w:r>
    </w:p>
    <w:p>
      <w:pPr>
        <w:spacing w:after="0" w:line="125" w:lineRule="exact"/>
        <w:rPr>
          <w:rFonts w:ascii="Times New Roman" w:cs="Times New Roman" w:eastAsia="Times New Roman" w:hAnsi="Times New Roman"/>
          <w:sz w:val="18"/>
          <w:szCs w:val="18"/>
          <w:color w:val="auto"/>
        </w:rPr>
      </w:pPr>
    </w:p>
    <w:p>
      <w:pPr>
        <w:ind w:left="1060" w:right="100" w:hanging="334"/>
        <w:spacing w:after="0" w:line="282" w:lineRule="auto"/>
        <w:tabs>
          <w:tab w:leader="none" w:pos="1043"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exercise such powers and to perform such acts as the Committee deems necessary or expedient to promote the best interests of the Company and that are not in conflict with the provisions of the Plan or Awards.</w:t>
      </w:r>
    </w:p>
    <w:p>
      <w:pPr>
        <w:spacing w:after="0" w:line="94" w:lineRule="exact"/>
        <w:rPr>
          <w:rFonts w:ascii="Times New Roman" w:cs="Times New Roman" w:eastAsia="Times New Roman" w:hAnsi="Times New Roman"/>
          <w:sz w:val="18"/>
          <w:szCs w:val="18"/>
          <w:color w:val="auto"/>
        </w:rPr>
      </w:pPr>
    </w:p>
    <w:p>
      <w:pPr>
        <w:ind w:left="1060" w:hanging="334"/>
        <w:spacing w:after="0" w:line="258" w:lineRule="auto"/>
        <w:tabs>
          <w:tab w:leader="none" w:pos="1045"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and Committee approval will not be necessary for immaterial modifications to any Award Agreement, deemed necessary or desirable to ensure or facilitate compliance with the laws of the relevant foreign jurisdiction).</w:t>
      </w:r>
    </w:p>
    <w:p>
      <w:pPr>
        <w:spacing w:after="0" w:line="115" w:lineRule="exact"/>
        <w:rPr>
          <w:rFonts w:ascii="Times New Roman" w:cs="Times New Roman" w:eastAsia="Times New Roman" w:hAnsi="Times New Roman"/>
          <w:sz w:val="18"/>
          <w:szCs w:val="18"/>
          <w:color w:val="auto"/>
        </w:rPr>
      </w:pPr>
    </w:p>
    <w:p>
      <w:pPr>
        <w:ind w:left="-20" w:right="140" w:firstLine="332"/>
        <w:spacing w:after="0" w:line="261" w:lineRule="auto"/>
        <w:tabs>
          <w:tab w:leader="none" w:pos="59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 Compliance</w:t>
      </w:r>
      <w:r>
        <w:rPr>
          <w:rFonts w:ascii="Times New Roman" w:cs="Times New Roman" w:eastAsia="Times New Roman" w:hAnsi="Times New Roman"/>
          <w:sz w:val="18"/>
          <w:szCs w:val="18"/>
          <w:color w:val="auto"/>
        </w:rPr>
        <w:t>.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98" w:lineRule="exact"/>
        <w:rPr>
          <w:rFonts w:ascii="Times New Roman" w:cs="Times New Roman" w:eastAsia="Times New Roman" w:hAnsi="Times New Roman"/>
          <w:sz w:val="18"/>
          <w:szCs w:val="18"/>
          <w:color w:val="auto"/>
        </w:rPr>
      </w:pPr>
    </w:p>
    <w:p>
      <w:pPr>
        <w:ind w:left="-20" w:right="160" w:firstLine="332"/>
        <w:spacing w:after="0" w:line="282" w:lineRule="auto"/>
        <w:tabs>
          <w:tab w:leader="none" w:pos="60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Committee’s Decision</w:t>
      </w:r>
      <w:r>
        <w:rPr>
          <w:rFonts w:ascii="Times New Roman" w:cs="Times New Roman" w:eastAsia="Times New Roman" w:hAnsi="Times New Roman"/>
          <w:sz w:val="18"/>
          <w:szCs w:val="18"/>
          <w:color w:val="auto"/>
        </w:rPr>
        <w:t>. All determinations, interpretations and constructions made by the Committee in good faith will not be subject to review by any person and will be final, binding and conclusive on all persons.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316" w:name="page317"/>
    <w:bookmarkEnd w:id="316"/>
    <w:p>
      <w:pPr>
        <w:jc w:val="both"/>
        <w:ind w:left="-8" w:right="100" w:firstLine="332"/>
        <w:spacing w:after="0" w:line="261" w:lineRule="auto"/>
        <w:tabs>
          <w:tab w:leader="none" w:pos="60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and Re-Grant of Awards</w:t>
      </w:r>
      <w:r>
        <w:rPr>
          <w:rFonts w:ascii="Times New Roman" w:cs="Times New Roman" w:eastAsia="Times New Roman" w:hAnsi="Times New Roman"/>
          <w:sz w:val="18"/>
          <w:szCs w:val="18"/>
          <w:color w:val="auto"/>
        </w:rPr>
        <w:t>. Neither the Board nor any Committee will have the authority to: (i) reduce the exercise price or strike price of any outstanding Options or SARs under the Plan, or (ii) cancel any outstanding Options or SARs that have an exercise price or strike price greater than the current Fair Market Value in exchange for cash or other Awards under the Plan, unless the stockholders of the Company have approved such an action within twelve months prior to such an event.</w:t>
      </w:r>
    </w:p>
    <w:p>
      <w:pPr>
        <w:spacing w:after="0" w:line="98" w:lineRule="exact"/>
        <w:rPr>
          <w:rFonts w:ascii="Times New Roman" w:cs="Times New Roman" w:eastAsia="Times New Roman" w:hAnsi="Times New Roman"/>
          <w:sz w:val="18"/>
          <w:szCs w:val="18"/>
          <w:color w:val="auto"/>
        </w:rPr>
      </w:pPr>
    </w:p>
    <w:p>
      <w:pPr>
        <w:ind w:left="-8" w:right="100" w:firstLine="332"/>
        <w:spacing w:after="0" w:line="254" w:lineRule="auto"/>
        <w:tabs>
          <w:tab w:leader="none" w:pos="631"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to an Officer. The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 of shares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-1128395</wp:posOffset>
            </wp:positionV>
            <wp:extent cx="111125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spacing w:after="0" w:line="97" w:lineRule="exact"/>
        <w:rPr>
          <w:sz w:val="20"/>
          <w:szCs w:val="20"/>
          <w:color w:val="auto"/>
        </w:rPr>
      </w:pPr>
    </w:p>
    <w:p>
      <w:pPr>
        <w:ind w:left="332"/>
        <w:spacing w:after="0"/>
        <w:tabs>
          <w:tab w:leader="none" w:pos="612"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TAX WITHHOLDING</w:t>
      </w:r>
    </w:p>
    <w:p>
      <w:pPr>
        <w:spacing w:after="0" w:line="162" w:lineRule="exact"/>
        <w:rPr>
          <w:sz w:val="20"/>
          <w:szCs w:val="20"/>
          <w:color w:val="auto"/>
        </w:rPr>
      </w:pPr>
    </w:p>
    <w:p>
      <w:pPr>
        <w:ind w:left="-8" w:right="80" w:firstLine="332"/>
        <w:spacing w:after="0" w:line="256" w:lineRule="auto"/>
        <w:tabs>
          <w:tab w:leader="none" w:pos="60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Authorization</w:t>
      </w:r>
      <w:r>
        <w:rPr>
          <w:rFonts w:ascii="Times New Roman" w:cs="Times New Roman" w:eastAsia="Times New Roman" w:hAnsi="Times New Roman"/>
          <w:sz w:val="18"/>
          <w:szCs w:val="18"/>
          <w:color w:val="auto"/>
        </w:rPr>
        <w:t>. As a condition to acceptance of any Award under the Plan, a 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grant,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06" w:lineRule="exact"/>
        <w:rPr>
          <w:rFonts w:ascii="Times New Roman" w:cs="Times New Roman" w:eastAsia="Times New Roman" w:hAnsi="Times New Roman"/>
          <w:sz w:val="18"/>
          <w:szCs w:val="18"/>
          <w:color w:val="auto"/>
        </w:rPr>
      </w:pPr>
    </w:p>
    <w:p>
      <w:pPr>
        <w:ind w:left="-8" w:right="100" w:firstLine="332"/>
        <w:spacing w:after="0" w:line="274" w:lineRule="auto"/>
        <w:tabs>
          <w:tab w:leader="none" w:pos="616" w:val="left"/>
        </w:tabs>
        <w:numPr>
          <w:ilvl w:val="1"/>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Satisfaction of Withholding Obligation</w:t>
      </w:r>
      <w:r>
        <w:rPr>
          <w:rFonts w:ascii="Times New Roman" w:cs="Times New Roman" w:eastAsia="Times New Roman" w:hAnsi="Times New Roman"/>
          <w:sz w:val="17"/>
          <w:szCs w:val="17"/>
          <w:color w:val="auto"/>
        </w:rPr>
        <w:t>. 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05" w:lineRule="exact"/>
        <w:rPr>
          <w:rFonts w:ascii="Times New Roman" w:cs="Times New Roman" w:eastAsia="Times New Roman" w:hAnsi="Times New Roman"/>
          <w:sz w:val="17"/>
          <w:szCs w:val="17"/>
          <w:color w:val="auto"/>
        </w:rPr>
      </w:pPr>
    </w:p>
    <w:p>
      <w:pPr>
        <w:ind w:left="-8" w:firstLine="332"/>
        <w:spacing w:after="0" w:line="269" w:lineRule="auto"/>
        <w:tabs>
          <w:tab w:leader="none" w:pos="606" w:val="left"/>
        </w:tabs>
        <w:numPr>
          <w:ilvl w:val="1"/>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Obligation to Notify or Minimize Taxes; No Liability to Claims</w:t>
      </w:r>
      <w:r>
        <w:rPr>
          <w:rFonts w:ascii="Times New Roman" w:cs="Times New Roman" w:eastAsia="Times New Roman" w:hAnsi="Times New Roman"/>
          <w:sz w:val="17"/>
          <w:szCs w:val="17"/>
          <w:color w:val="auto"/>
        </w:rPr>
        <w:t>. 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w:t>
      </w:r>
    </w:p>
    <w:p>
      <w:pPr>
        <w:spacing w:after="0" w:line="2" w:lineRule="exact"/>
        <w:rPr>
          <w:rFonts w:ascii="Times New Roman" w:cs="Times New Roman" w:eastAsia="Times New Roman" w:hAnsi="Times New Roman"/>
          <w:sz w:val="17"/>
          <w:szCs w:val="17"/>
          <w:color w:val="auto"/>
        </w:rPr>
      </w:pPr>
    </w:p>
    <w:p>
      <w:pPr>
        <w:ind w:left="-8" w:right="60" w:firstLine="8"/>
        <w:spacing w:after="0" w:line="251" w:lineRule="auto"/>
        <w:tabs>
          <w:tab w:leader="none" w:pos="20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200" w:lineRule="exact"/>
        <w:rPr>
          <w:sz w:val="20"/>
          <w:szCs w:val="20"/>
          <w:color w:val="auto"/>
        </w:rPr>
      </w:pPr>
    </w:p>
    <w:p>
      <w:pPr>
        <w:spacing w:after="0" w:line="26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21" w:right="339" w:bottom="1440" w:gutter="0" w:footer="0" w:header="0"/>
        </w:sectPr>
      </w:pPr>
    </w:p>
    <w:bookmarkStart w:id="317" w:name="page318"/>
    <w:bookmarkEnd w:id="317"/>
    <w:p>
      <w:pPr>
        <w:ind w:right="80" w:firstLine="332"/>
        <w:spacing w:after="0" w:line="261" w:lineRule="auto"/>
        <w:tabs>
          <w:tab w:leader="none" w:pos="62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Indemnification</w:t>
      </w:r>
      <w:r>
        <w:rPr>
          <w:rFonts w:ascii="Times New Roman" w:cs="Times New Roman" w:eastAsia="Times New Roman" w:hAnsi="Times New Roman"/>
          <w:sz w:val="18"/>
          <w:szCs w:val="18"/>
          <w:color w:val="auto"/>
        </w:rPr>
        <w:t>.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MISCELLANEOUS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80" w:firstLine="332"/>
        <w:spacing w:after="0" w:line="282" w:lineRule="auto"/>
        <w:tabs>
          <w:tab w:leader="none" w:pos="61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of Shares</w:t>
      </w:r>
      <w:r>
        <w:rPr>
          <w:rFonts w:ascii="Times New Roman" w:cs="Times New Roman" w:eastAsia="Times New Roman" w:hAnsi="Times New Roman"/>
          <w:sz w:val="18"/>
          <w:szCs w:val="18"/>
          <w:color w:val="auto"/>
        </w:rPr>
        <w:t>. The stock issuable under the Plan will be shares of authorized but unissued or reacquired Common Stock, including shares repurchased by the Company on the open market or otherwise.</w:t>
      </w:r>
    </w:p>
    <w:p>
      <w:pPr>
        <w:spacing w:after="0" w:line="94" w:lineRule="exact"/>
        <w:rPr>
          <w:rFonts w:ascii="Times New Roman" w:cs="Times New Roman" w:eastAsia="Times New Roman" w:hAnsi="Times New Roman"/>
          <w:sz w:val="18"/>
          <w:szCs w:val="18"/>
          <w:color w:val="auto"/>
        </w:rPr>
      </w:pPr>
    </w:p>
    <w:p>
      <w:pPr>
        <w:ind w:right="400" w:firstLine="332"/>
        <w:spacing w:after="0" w:line="282" w:lineRule="auto"/>
        <w:tabs>
          <w:tab w:leader="none" w:pos="62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 from Sales of Common Stock</w:t>
      </w:r>
      <w:r>
        <w:rPr>
          <w:rFonts w:ascii="Times New Roman" w:cs="Times New Roman" w:eastAsia="Times New Roman" w:hAnsi="Times New Roman"/>
          <w:sz w:val="18"/>
          <w:szCs w:val="18"/>
          <w:color w:val="auto"/>
        </w:rPr>
        <w:t>. Proceeds from the sale of shares of Common Stock pursuant to Awards will constitute general funds of the Company.</w:t>
      </w:r>
    </w:p>
    <w:p>
      <w:pPr>
        <w:spacing w:after="0" w:line="80" w:lineRule="exact"/>
        <w:rPr>
          <w:rFonts w:ascii="Times New Roman" w:cs="Times New Roman" w:eastAsia="Times New Roman" w:hAnsi="Times New Roman"/>
          <w:sz w:val="18"/>
          <w:szCs w:val="18"/>
          <w:color w:val="auto"/>
        </w:rPr>
      </w:pPr>
    </w:p>
    <w:p>
      <w:pPr>
        <w:ind w:right="100" w:firstLine="332"/>
        <w:spacing w:after="0" w:line="255" w:lineRule="auto"/>
        <w:tabs>
          <w:tab w:leader="none" w:pos="61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Action Constituting Grant of Awards</w:t>
      </w:r>
      <w:r>
        <w:rPr>
          <w:rFonts w:ascii="Times New Roman" w:cs="Times New Roman" w:eastAsia="Times New Roman" w:hAnsi="Times New Roman"/>
          <w:sz w:val="18"/>
          <w:szCs w:val="18"/>
          <w:color w:val="auto"/>
        </w:rPr>
        <w:t>. Corporate action constituting a grant by the Company of an Award to any Participant will be deemed completed as of the date of such corporate action, unless otherwise determined by the Board or the Committee, regardless of when the instrument, certificate, or letter evidencing the Award is communicated to, or actually received or accepted by, the Participant. In the event that the corporate records (e.g., Committee consents,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21" w:lineRule="exact"/>
        <w:rPr>
          <w:rFonts w:ascii="Times New Roman" w:cs="Times New Roman" w:eastAsia="Times New Roman" w:hAnsi="Times New Roman"/>
          <w:sz w:val="18"/>
          <w:szCs w:val="18"/>
          <w:color w:val="auto"/>
        </w:rPr>
      </w:pPr>
    </w:p>
    <w:p>
      <w:pPr>
        <w:ind w:right="180" w:firstLine="332"/>
        <w:spacing w:after="0" w:line="266" w:lineRule="auto"/>
        <w:tabs>
          <w:tab w:leader="none" w:pos="62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08" w:lineRule="exact"/>
        <w:rPr>
          <w:rFonts w:ascii="Times New Roman" w:cs="Times New Roman" w:eastAsia="Times New Roman" w:hAnsi="Times New Roman"/>
          <w:sz w:val="18"/>
          <w:szCs w:val="18"/>
          <w:color w:val="auto"/>
        </w:rPr>
      </w:pPr>
    </w:p>
    <w:p>
      <w:pPr>
        <w:ind w:firstLine="332"/>
        <w:spacing w:after="0" w:line="253" w:lineRule="auto"/>
        <w:tabs>
          <w:tab w:leader="none" w:pos="61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or Other Service Rights</w:t>
      </w:r>
      <w:r>
        <w:rPr>
          <w:rFonts w:ascii="Times New Roman" w:cs="Times New Roman" w:eastAsia="Times New Roman" w:hAnsi="Times New Roman"/>
          <w:sz w:val="18"/>
          <w:szCs w:val="18"/>
          <w:color w:val="auto"/>
        </w:rPr>
        <w:t>.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13" w:lineRule="exact"/>
        <w:rPr>
          <w:rFonts w:ascii="Times New Roman" w:cs="Times New Roman" w:eastAsia="Times New Roman" w:hAnsi="Times New Roman"/>
          <w:sz w:val="18"/>
          <w:szCs w:val="18"/>
          <w:color w:val="auto"/>
        </w:rPr>
      </w:pPr>
    </w:p>
    <w:p>
      <w:pPr>
        <w:ind w:right="100" w:firstLine="332"/>
        <w:spacing w:after="0" w:line="255" w:lineRule="auto"/>
        <w:tabs>
          <w:tab w:leader="none" w:pos="63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Time Commitment.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Additional Documents</w:t>
      </w:r>
      <w:r>
        <w:rPr>
          <w:rFonts w:ascii="Times New Roman" w:cs="Times New Roman" w:eastAsia="Times New Roman" w:hAnsi="Times New Roman"/>
          <w:sz w:val="18"/>
          <w:szCs w:val="18"/>
          <w:color w:val="auto"/>
        </w:rPr>
        <w:t>. As a condition to accepting an Award under the Plan, the Participant agrees to execute any additional</w:t>
      </w:r>
    </w:p>
    <w:p>
      <w:pPr>
        <w:spacing w:after="0" w:line="27"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-1363980</wp:posOffset>
            </wp:positionV>
            <wp:extent cx="13639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18" w:name="page319"/>
    <w:bookmarkEnd w:id="318"/>
    <w:p>
      <w:pPr>
        <w:ind w:left="-20" w:right="160" w:firstLine="332"/>
        <w:spacing w:after="0" w:line="256" w:lineRule="auto"/>
        <w:tabs>
          <w:tab w:leader="none" w:pos="60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Participation</w:t>
      </w:r>
      <w:r>
        <w:rPr>
          <w:rFonts w:ascii="Times New Roman" w:cs="Times New Roman" w:eastAsia="Times New Roman" w:hAnsi="Times New Roman"/>
          <w:sz w:val="18"/>
          <w:szCs w:val="18"/>
          <w:color w:val="auto"/>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06" w:lineRule="exact"/>
        <w:rPr>
          <w:rFonts w:ascii="Times New Roman" w:cs="Times New Roman" w:eastAsia="Times New Roman" w:hAnsi="Times New Roman"/>
          <w:sz w:val="18"/>
          <w:szCs w:val="18"/>
          <w:color w:val="auto"/>
        </w:rPr>
      </w:pPr>
    </w:p>
    <w:p>
      <w:pPr>
        <w:ind w:left="-20" w:right="80" w:firstLine="332"/>
        <w:spacing w:after="0" w:line="254" w:lineRule="auto"/>
        <w:tabs>
          <w:tab w:leader="none" w:pos="60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24" w:lineRule="exact"/>
        <w:rPr>
          <w:rFonts w:ascii="Times New Roman" w:cs="Times New Roman" w:eastAsia="Times New Roman" w:hAnsi="Times New Roman"/>
          <w:sz w:val="18"/>
          <w:szCs w:val="18"/>
          <w:color w:val="auto"/>
        </w:rPr>
      </w:pPr>
    </w:p>
    <w:p>
      <w:pPr>
        <w:ind w:left="-20" w:right="140" w:firstLine="332"/>
        <w:spacing w:after="0" w:line="261" w:lineRule="auto"/>
        <w:tabs>
          <w:tab w:leader="none" w:pos="60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Law Compliance. 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12" w:lineRule="exact"/>
        <w:rPr>
          <w:rFonts w:ascii="Times New Roman" w:cs="Times New Roman" w:eastAsia="Times New Roman" w:hAnsi="Times New Roman"/>
          <w:sz w:val="18"/>
          <w:szCs w:val="18"/>
          <w:color w:val="auto"/>
        </w:rPr>
      </w:pPr>
    </w:p>
    <w:p>
      <w:pPr>
        <w:ind w:left="-20" w:right="20" w:firstLine="332"/>
        <w:spacing w:after="0" w:line="258" w:lineRule="auto"/>
        <w:tabs>
          <w:tab w:leader="none" w:pos="60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or Assignment of Awards; Issued Shares</w:t>
      </w:r>
      <w:r>
        <w:rPr>
          <w:rFonts w:ascii="Times New Roman" w:cs="Times New Roman" w:eastAsia="Times New Roman" w:hAnsi="Times New Roman"/>
          <w:sz w:val="18"/>
          <w:szCs w:val="18"/>
          <w:color w:val="auto"/>
        </w:rPr>
        <w:t>. 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and in accordance with the terms of any Award Agreement.</w:t>
      </w:r>
    </w:p>
    <w:p>
      <w:pPr>
        <w:spacing w:after="0" w:line="102" w:lineRule="exact"/>
        <w:rPr>
          <w:rFonts w:ascii="Times New Roman" w:cs="Times New Roman" w:eastAsia="Times New Roman" w:hAnsi="Times New Roman"/>
          <w:sz w:val="18"/>
          <w:szCs w:val="18"/>
          <w:color w:val="auto"/>
        </w:rPr>
      </w:pPr>
    </w:p>
    <w:p>
      <w:pPr>
        <w:ind w:left="-20" w:firstLine="332"/>
        <w:spacing w:after="0" w:line="261" w:lineRule="auto"/>
        <w:tabs>
          <w:tab w:leader="none" w:pos="60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on Other Employee Benefit Plans. 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12" w:lineRule="exact"/>
        <w:rPr>
          <w:rFonts w:ascii="Times New Roman" w:cs="Times New Roman" w:eastAsia="Times New Roman" w:hAnsi="Times New Roman"/>
          <w:sz w:val="18"/>
          <w:szCs w:val="18"/>
          <w:color w:val="auto"/>
        </w:rPr>
      </w:pPr>
    </w:p>
    <w:p>
      <w:pPr>
        <w:ind w:left="-20" w:right="40" w:firstLine="332"/>
        <w:spacing w:after="0" w:line="253" w:lineRule="auto"/>
        <w:tabs>
          <w:tab w:leader="none" w:pos="60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-3596640</wp:posOffset>
            </wp:positionV>
            <wp:extent cx="12630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6301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-2181860</wp:posOffset>
            </wp:positionV>
            <wp:extent cx="18415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84150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319" w:name="page320"/>
    <w:bookmarkEnd w:id="319"/>
    <w:p>
      <w:pPr>
        <w:ind w:left="-20" w:right="180" w:firstLine="332"/>
        <w:spacing w:after="0" w:line="266" w:lineRule="auto"/>
        <w:tabs>
          <w:tab w:leader="none" w:pos="60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spacing w:after="0" w:line="91" w:lineRule="exact"/>
        <w:rPr>
          <w:sz w:val="20"/>
          <w:szCs w:val="20"/>
          <w:color w:val="auto"/>
        </w:rPr>
      </w:pPr>
    </w:p>
    <w:p>
      <w:pPr>
        <w:ind w:left="-20" w:right="100" w:firstLine="332"/>
        <w:spacing w:after="0" w:line="272" w:lineRule="auto"/>
        <w:tabs>
          <w:tab w:leader="none" w:pos="609" w:val="left"/>
        </w:tabs>
        <w:numPr>
          <w:ilvl w:val="0"/>
          <w:numId w:val="2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COVENANTS OF THE COMPANY. COMPLIANCE WITH LAW</w:t>
      </w:r>
      <w:r>
        <w:rPr>
          <w:rFonts w:ascii="Times New Roman" w:cs="Times New Roman" w:eastAsia="Times New Roman" w:hAnsi="Times New Roman"/>
          <w:sz w:val="17"/>
          <w:szCs w:val="17"/>
          <w:color w:val="auto"/>
        </w:rPr>
        <w:t>. The Company will seek to obtain from each regulatory commission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agency, as may be deemed to be necessary, having jurisdiction over the Plan such authority as may be required to grant Awards and to issue and sell shares of Common Stock upon exercise or vesting of the Awards;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04" w:lineRule="exact"/>
        <w:rPr>
          <w:rFonts w:ascii="Times New Roman" w:cs="Times New Roman" w:eastAsia="Times New Roman" w:hAnsi="Times New Roman"/>
          <w:sz w:val="17"/>
          <w:szCs w:val="17"/>
          <w:b w:val="1"/>
          <w:bCs w:val="1"/>
          <w:color w:val="auto"/>
        </w:rPr>
      </w:pPr>
    </w:p>
    <w:p>
      <w:pPr>
        <w:ind w:left="-20" w:right="200" w:firstLine="332"/>
        <w:spacing w:after="0" w:line="262" w:lineRule="auto"/>
        <w:tabs>
          <w:tab w:leader="none" w:pos="619"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all or any part of the Plan or any Award Agreement is declared by any court or governmental authority to be unlawful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08" w:lineRule="exact"/>
        <w:rPr>
          <w:rFonts w:ascii="Times New Roman" w:cs="Times New Roman" w:eastAsia="Times New Roman" w:hAnsi="Times New Roman"/>
          <w:sz w:val="18"/>
          <w:szCs w:val="18"/>
          <w:b w:val="1"/>
          <w:bCs w:val="1"/>
          <w:color w:val="auto"/>
        </w:rPr>
      </w:pPr>
    </w:p>
    <w:p>
      <w:pPr>
        <w:ind w:left="620" w:hanging="308"/>
        <w:spacing w:after="0"/>
        <w:tabs>
          <w:tab w:leader="none" w:pos="620"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TERMINATION OF THE PLAN</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20" w:right="140" w:firstLine="332"/>
        <w:spacing w:after="0" w:line="282" w:lineRule="auto"/>
        <w:tabs>
          <w:tab w:leader="none" w:pos="59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Board may suspend or terminate the Plan at any time. No Incentive Stock Options may be granted after the tenth anniversary of the Adoption Date. No Awards may be granted under the Plan while the Plan is suspended or after it is terminated.</w:t>
      </w:r>
    </w:p>
    <w:p>
      <w:pPr>
        <w:spacing w:after="0" w:line="92" w:lineRule="exact"/>
        <w:rPr>
          <w:rFonts w:ascii="Times New Roman" w:cs="Times New Roman" w:eastAsia="Times New Roman" w:hAnsi="Times New Roman"/>
          <w:sz w:val="18"/>
          <w:szCs w:val="18"/>
          <w:color w:val="auto"/>
        </w:rPr>
      </w:pPr>
    </w:p>
    <w:p>
      <w:pPr>
        <w:ind w:left="-20" w:right="20" w:firstLine="332"/>
        <w:spacing w:after="0" w:line="284" w:lineRule="auto"/>
        <w:tabs>
          <w:tab w:leader="none" w:pos="60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Board, in its sole discretion, may amend the Plan in any respect the Board deems necessary or advisable;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Stockholder approval will be required for any amendment to the extent required by Applicable Law.</w:t>
      </w:r>
    </w:p>
    <w:p>
      <w:pPr>
        <w:spacing w:after="0" w:line="92" w:lineRule="exact"/>
        <w:rPr>
          <w:rFonts w:ascii="Times New Roman" w:cs="Times New Roman" w:eastAsia="Times New Roman" w:hAnsi="Times New Roman"/>
          <w:sz w:val="18"/>
          <w:szCs w:val="18"/>
          <w:color w:val="auto"/>
        </w:rPr>
      </w:pPr>
    </w:p>
    <w:p>
      <w:pPr>
        <w:ind w:left="-20" w:right="220" w:firstLine="332"/>
        <w:spacing w:after="0" w:line="256" w:lineRule="auto"/>
        <w:tabs>
          <w:tab w:leader="none" w:pos="59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Prior Awards</w:t>
      </w:r>
      <w:r>
        <w:rPr>
          <w:rFonts w:ascii="Times New Roman" w:cs="Times New Roman" w:eastAsia="Times New Roman" w:hAnsi="Times New Roman"/>
          <w:sz w:val="18"/>
          <w:szCs w:val="18"/>
          <w:color w:val="auto"/>
        </w:rPr>
        <w:t>. No Participant’s rights under any Award granted before the amendment or termination of the Plan will be Materially Impaired by any amendment, suspension, or termination of the Plan unless (1) the Company requests the consent of the affected Participant, and (2) such Participant consents in writing, provided that such consent shall not be required if the Board determines, in its sole and absolute discretion, that the amendment, suspension or termination: (a) is required or advisable in order for the Company, the Plan or the Award to satisfy applicable law, to meet the requirements of any accounting standard or to avoid any adverse accounting treatment, or (b) in connection with any transaction or event described in Section 7(c), is in the best interests of the Company or its stockholders.</w:t>
      </w:r>
    </w:p>
    <w:p>
      <w:pPr>
        <w:spacing w:after="0" w:line="102" w:lineRule="exact"/>
        <w:rPr>
          <w:sz w:val="20"/>
          <w:szCs w:val="20"/>
          <w:color w:val="auto"/>
        </w:rPr>
      </w:pPr>
    </w:p>
    <w:p>
      <w:pPr>
        <w:ind w:left="620" w:hanging="308"/>
        <w:spacing w:after="0"/>
        <w:tabs>
          <w:tab w:leader="none" w:pos="620"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the Plan, the following definitions apply to the capitalized terms indicated below:</w:t>
      </w:r>
    </w:p>
    <w:p>
      <w:pPr>
        <w:spacing w:after="0" w:line="15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158" w:lineRule="exact"/>
        <w:rPr>
          <w:sz w:val="20"/>
          <w:szCs w:val="20"/>
          <w:color w:val="auto"/>
        </w:rPr>
      </w:pPr>
    </w:p>
    <w:p>
      <w:pPr>
        <w:jc w:val="both"/>
        <w:ind w:left="640" w:right="180" w:hanging="328"/>
        <w:spacing w:after="0" w:line="268" w:lineRule="auto"/>
        <w:tabs>
          <w:tab w:leader="none" w:pos="61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89" w:lineRule="exact"/>
        <w:rPr>
          <w:rFonts w:ascii="Times New Roman" w:cs="Times New Roman" w:eastAsia="Times New Roman" w:hAnsi="Times New Roman"/>
          <w:sz w:val="18"/>
          <w:szCs w:val="18"/>
          <w:color w:val="auto"/>
        </w:rPr>
      </w:pPr>
    </w:p>
    <w:p>
      <w:pPr>
        <w:ind w:left="640" w:hanging="328"/>
        <w:spacing w:after="0" w:line="259" w:lineRule="auto"/>
        <w:tabs>
          <w:tab w:leader="none" w:pos="60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320" w:name="page321"/>
    <w:bookmarkEnd w:id="320"/>
    <w:p>
      <w:pPr>
        <w:ind w:left="328" w:right="580" w:hanging="328"/>
        <w:spacing w:after="0" w:line="286" w:lineRule="auto"/>
        <w:tabs>
          <w:tab w:leader="none" w:pos="30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73" w:lineRule="exact"/>
        <w:rPr>
          <w:rFonts w:ascii="Times New Roman" w:cs="Times New Roman" w:eastAsia="Times New Roman" w:hAnsi="Times New Roman"/>
          <w:sz w:val="18"/>
          <w:szCs w:val="18"/>
          <w:color w:val="auto"/>
        </w:rPr>
      </w:pPr>
    </w:p>
    <w:p>
      <w:pPr>
        <w:jc w:val="both"/>
        <w:ind w:left="328" w:right="200" w:hanging="328"/>
        <w:spacing w:after="0" w:line="268" w:lineRule="auto"/>
        <w:tabs>
          <w:tab w:leader="none" w:pos="29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03" w:lineRule="exact"/>
        <w:rPr>
          <w:rFonts w:ascii="Times New Roman" w:cs="Times New Roman" w:eastAsia="Times New Roman" w:hAnsi="Times New Roman"/>
          <w:sz w:val="18"/>
          <w:szCs w:val="18"/>
          <w:color w:val="auto"/>
        </w:rPr>
      </w:pPr>
    </w:p>
    <w:p>
      <w:pPr>
        <w:ind w:left="328" w:right="40" w:hanging="328"/>
        <w:spacing w:after="0" w:line="268" w:lineRule="auto"/>
        <w:tabs>
          <w:tab w:leader="none" w:pos="31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03" w:lineRule="exact"/>
        <w:rPr>
          <w:rFonts w:ascii="Times New Roman" w:cs="Times New Roman" w:eastAsia="Times New Roman" w:hAnsi="Times New Roman"/>
          <w:sz w:val="18"/>
          <w:szCs w:val="18"/>
          <w:color w:val="auto"/>
        </w:rPr>
      </w:pPr>
    </w:p>
    <w:p>
      <w:pPr>
        <w:ind w:left="328" w:hanging="328"/>
        <w:spacing w:after="0" w:line="256" w:lineRule="auto"/>
        <w:tabs>
          <w:tab w:leader="none" w:pos="30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01" w:lineRule="exact"/>
        <w:rPr>
          <w:rFonts w:ascii="Times New Roman" w:cs="Times New Roman" w:eastAsia="Times New Roman" w:hAnsi="Times New Roman"/>
          <w:sz w:val="18"/>
          <w:szCs w:val="18"/>
          <w:color w:val="auto"/>
        </w:rPr>
      </w:pPr>
    </w:p>
    <w:p>
      <w:pPr>
        <w:ind w:left="328" w:hanging="328"/>
        <w:spacing w:after="0" w:line="253" w:lineRule="auto"/>
        <w:tabs>
          <w:tab w:leader="none" w:pos="30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defining such term and, in the absence of such agreement, such term means, with respect to a Participant, the occurrence of any of the following events: (i) the commission of an act of fraud, embezzlement, theft or proven dishonesty, or any other illegal act or practice (whether or not resulting in criminal prosecution or conviction), including theft or destruction of property of the Company or a subsidiary, or any other act or practice which the Committee shall, in good faith, deem to have resulted in the recipient’s becoming unbondable under the Company or any subsidiary’s fidelity bond; (ii) the willful engaging in misconduct which is deemed by the Committee, in good faith, to be materially injurious to the Company or any subsidiary, monetarily or otherwise, including, but not limited to, improperly disclosing trade secrets or other confidential or sensitive business information and data about the Company or any subsidiaries and competing with the Company or any subsidiaries, or soliciting employees, consultants or customers of the Company or any subsidiaries in violation of law or any employment or other agreement to which the recipient is a party; (iii) the continued failure or habitual neglect by a person who is a Participant to perform his or her duties with the Company or any subsidiary; or (iv) other disregard of rules or policies of the Company or any subsidiary, or conduct evidencing willful or wanton disregard of the interests of the Company or any subsidiary.</w:t>
      </w:r>
    </w:p>
    <w:p>
      <w:pPr>
        <w:spacing w:after="0" w:line="122"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157" w:lineRule="exact"/>
        <w:rPr>
          <w:rFonts w:ascii="Times New Roman" w:cs="Times New Roman" w:eastAsia="Times New Roman" w:hAnsi="Times New Roman"/>
          <w:sz w:val="18"/>
          <w:szCs w:val="18"/>
          <w:color w:val="auto"/>
        </w:rPr>
      </w:pPr>
    </w:p>
    <w:p>
      <w:pPr>
        <w:ind w:left="328" w:right="200" w:hanging="328"/>
        <w:spacing w:after="0" w:line="286" w:lineRule="auto"/>
        <w:tabs>
          <w:tab w:leader="none" w:pos="30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Committee and any other committee of Directors to whom authority has been delegated by the Board or Compensation Committee in accordance with the Plan.</w:t>
      </w:r>
    </w:p>
    <w:p>
      <w:pPr>
        <w:spacing w:after="0" w:line="73"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w:t>
      </w:r>
    </w:p>
    <w:p>
      <w:pPr>
        <w:spacing w:after="0" w:line="157"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Coeptis Therapeutics Holdings Inc., a Delaware corporation.</w:t>
      </w:r>
    </w:p>
    <w:p>
      <w:pPr>
        <w:spacing w:after="0" w:line="157"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144" w:lineRule="exact"/>
        <w:rPr>
          <w:rFonts w:ascii="Times New Roman" w:cs="Times New Roman" w:eastAsia="Times New Roman" w:hAnsi="Times New Roman"/>
          <w:sz w:val="18"/>
          <w:szCs w:val="18"/>
          <w:color w:val="auto"/>
        </w:rPr>
      </w:pPr>
    </w:p>
    <w:p>
      <w:pPr>
        <w:ind w:left="328" w:hanging="328"/>
        <w:spacing w:after="0" w:line="259" w:lineRule="auto"/>
        <w:tabs>
          <w:tab w:leader="none" w:pos="30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200" w:lineRule="exact"/>
        <w:rPr>
          <w:sz w:val="20"/>
          <w:szCs w:val="20"/>
          <w:color w:val="auto"/>
        </w:rPr>
      </w:pPr>
    </w:p>
    <w:p>
      <w:pPr>
        <w:spacing w:after="0" w:line="253"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Annex 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617" w:right="359" w:bottom="1440" w:gutter="0" w:footer="0" w:header="0"/>
        </w:sectPr>
      </w:pPr>
    </w:p>
    <w:bookmarkStart w:id="321" w:name="page322"/>
    <w:bookmarkEnd w:id="321"/>
    <w:p>
      <w:pPr>
        <w:ind w:left="328" w:hanging="328"/>
        <w:spacing w:after="0" w:line="252" w:lineRule="auto"/>
        <w:tabs>
          <w:tab w:leader="none" w:pos="30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13" w:lineRule="exact"/>
        <w:rPr>
          <w:rFonts w:ascii="Times New Roman" w:cs="Times New Roman" w:eastAsia="Times New Roman" w:hAnsi="Times New Roman"/>
          <w:sz w:val="18"/>
          <w:szCs w:val="18"/>
          <w:color w:val="auto"/>
        </w:rPr>
      </w:pPr>
    </w:p>
    <w:p>
      <w:pPr>
        <w:ind w:left="328" w:right="140" w:hanging="328"/>
        <w:spacing w:after="0" w:line="278" w:lineRule="auto"/>
        <w:tabs>
          <w:tab w:leader="none" w:pos="304"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Corporate Transaction</w:t>
      </w:r>
      <w:r>
        <w:rPr>
          <w:rFonts w:ascii="Times New Roman" w:cs="Times New Roman" w:eastAsia="Times New Roman" w:hAnsi="Times New Roman"/>
          <w:sz w:val="17"/>
          <w:szCs w:val="17"/>
          <w:color w:val="auto"/>
        </w:rPr>
        <w:t>” means the consummation, in a single transaction or in a series of related transactions, of any one or more of the following events, provided, however, to the extent necessary to avoid adverse personal income tax consequences to the Participant under Section</w:t>
      </w:r>
    </w:p>
    <w:p>
      <w:pPr>
        <w:spacing w:after="0" w:line="1" w:lineRule="exact"/>
        <w:rPr>
          <w:rFonts w:ascii="Times New Roman" w:cs="Times New Roman" w:eastAsia="Times New Roman" w:hAnsi="Times New Roman"/>
          <w:sz w:val="17"/>
          <w:szCs w:val="17"/>
          <w:color w:val="auto"/>
        </w:rPr>
      </w:pPr>
    </w:p>
    <w:p>
      <w:pPr>
        <w:ind w:left="3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409A of the Code in connection with an Award, such transaction or series of transactions, also constitutes a Section 409A Change in Control:</w:t>
      </w:r>
    </w:p>
    <w:p>
      <w:pPr>
        <w:spacing w:after="0" w:line="139" w:lineRule="exact"/>
        <w:rPr>
          <w:rFonts w:ascii="Times New Roman" w:cs="Times New Roman" w:eastAsia="Times New Roman" w:hAnsi="Times New Roman"/>
          <w:sz w:val="17"/>
          <w:szCs w:val="17"/>
          <w:color w:val="auto"/>
        </w:rPr>
      </w:pPr>
    </w:p>
    <w:p>
      <w:pPr>
        <w:ind w:left="648" w:right="880" w:hanging="234"/>
        <w:spacing w:after="0" w:line="282" w:lineRule="auto"/>
        <w:tabs>
          <w:tab w:leader="none" w:pos="64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 Subsidiaries;</w:t>
      </w:r>
    </w:p>
    <w:p>
      <w:pPr>
        <w:spacing w:after="0" w:line="94" w:lineRule="exact"/>
        <w:rPr>
          <w:rFonts w:ascii="Times New Roman" w:cs="Times New Roman" w:eastAsia="Times New Roman" w:hAnsi="Times New Roman"/>
          <w:sz w:val="18"/>
          <w:szCs w:val="18"/>
          <w:color w:val="auto"/>
        </w:rPr>
      </w:pPr>
    </w:p>
    <w:p>
      <w:pPr>
        <w:ind w:left="648" w:hanging="234"/>
        <w:spacing w:after="0"/>
        <w:tabs>
          <w:tab w:leader="none" w:pos="64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144" w:lineRule="exact"/>
        <w:rPr>
          <w:rFonts w:ascii="Times New Roman" w:cs="Times New Roman" w:eastAsia="Times New Roman" w:hAnsi="Times New Roman"/>
          <w:sz w:val="18"/>
          <w:szCs w:val="18"/>
          <w:color w:val="auto"/>
        </w:rPr>
      </w:pPr>
    </w:p>
    <w:p>
      <w:pPr>
        <w:ind w:left="648" w:hanging="234"/>
        <w:spacing w:after="0"/>
        <w:tabs>
          <w:tab w:leader="none" w:pos="64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157" w:lineRule="exact"/>
        <w:rPr>
          <w:rFonts w:ascii="Times New Roman" w:cs="Times New Roman" w:eastAsia="Times New Roman" w:hAnsi="Times New Roman"/>
          <w:sz w:val="18"/>
          <w:szCs w:val="18"/>
          <w:color w:val="auto"/>
        </w:rPr>
      </w:pPr>
    </w:p>
    <w:p>
      <w:pPr>
        <w:ind w:left="648" w:right="340" w:hanging="234"/>
        <w:spacing w:after="0" w:line="266" w:lineRule="auto"/>
        <w:tabs>
          <w:tab w:leader="none" w:pos="632"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04"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144"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157" w:lineRule="exact"/>
        <w:rPr>
          <w:rFonts w:ascii="Times New Roman" w:cs="Times New Roman" w:eastAsia="Times New Roman" w:hAnsi="Times New Roman"/>
          <w:sz w:val="18"/>
          <w:szCs w:val="18"/>
          <w:color w:val="auto"/>
        </w:rPr>
      </w:pPr>
    </w:p>
    <w:p>
      <w:pPr>
        <w:ind w:left="328" w:hanging="328"/>
        <w:spacing w:after="0" w:line="259" w:lineRule="auto"/>
        <w:tabs>
          <w:tab w:leader="none" w:pos="28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In making such a determination, the Board may rely upon a determination by the Social Security Administration that the Participant is disable for purposes of eligibility for Social Security disability benefits.</w:t>
      </w:r>
    </w:p>
    <w:p>
      <w:pPr>
        <w:spacing w:after="0" w:line="111" w:lineRule="exact"/>
        <w:rPr>
          <w:rFonts w:ascii="Times New Roman" w:cs="Times New Roman" w:eastAsia="Times New Roman" w:hAnsi="Times New Roman"/>
          <w:sz w:val="18"/>
          <w:szCs w:val="18"/>
          <w:color w:val="auto"/>
        </w:rPr>
      </w:pPr>
    </w:p>
    <w:p>
      <w:pPr>
        <w:ind w:left="328" w:right="380" w:hanging="328"/>
        <w:spacing w:after="0" w:line="286" w:lineRule="auto"/>
        <w:tabs>
          <w:tab w:leader="none" w:pos="30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73"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00" w:lineRule="exact"/>
        <w:rPr>
          <w:sz w:val="20"/>
          <w:szCs w:val="20"/>
          <w:color w:val="auto"/>
        </w:rPr>
      </w:pPr>
    </w:p>
    <w:p>
      <w:pPr>
        <w:spacing w:after="0" w:line="29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Annex 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wp:posOffset>
            </wp:positionV>
            <wp:extent cx="71323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617" w:right="359" w:bottom="1440" w:gutter="0" w:footer="0" w:header="0"/>
        </w:sectPr>
      </w:pPr>
    </w:p>
    <w:bookmarkStart w:id="322" w:name="page323"/>
    <w:bookmarkEnd w:id="322"/>
    <w:p>
      <w:pPr>
        <w:ind w:left="308" w:hanging="308"/>
        <w:spacing w:after="0"/>
        <w:tabs>
          <w:tab w:leader="none" w:pos="30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144"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57" w:lineRule="exact"/>
        <w:rPr>
          <w:rFonts w:ascii="Times New Roman" w:cs="Times New Roman" w:eastAsia="Times New Roman" w:hAnsi="Times New Roman"/>
          <w:sz w:val="18"/>
          <w:szCs w:val="18"/>
          <w:color w:val="auto"/>
        </w:rPr>
      </w:pPr>
    </w:p>
    <w:p>
      <w:pPr>
        <w:ind w:left="328" w:right="160" w:hanging="328"/>
        <w:spacing w:after="0" w:line="286" w:lineRule="auto"/>
        <w:tabs>
          <w:tab w:leader="none" w:pos="30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91" w:lineRule="exact"/>
        <w:rPr>
          <w:rFonts w:ascii="Times New Roman" w:cs="Times New Roman" w:eastAsia="Times New Roman" w:hAnsi="Times New Roman"/>
          <w:sz w:val="18"/>
          <w:szCs w:val="18"/>
          <w:color w:val="auto"/>
        </w:rPr>
      </w:pPr>
    </w:p>
    <w:p>
      <w:pPr>
        <w:ind w:left="648" w:right="60" w:hanging="234"/>
        <w:spacing w:after="0" w:line="266" w:lineRule="auto"/>
        <w:tabs>
          <w:tab w:leader="none" w:pos="64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94" w:lineRule="exact"/>
        <w:rPr>
          <w:rFonts w:ascii="Times New Roman" w:cs="Times New Roman" w:eastAsia="Times New Roman" w:hAnsi="Times New Roman"/>
          <w:sz w:val="18"/>
          <w:szCs w:val="18"/>
          <w:color w:val="auto"/>
        </w:rPr>
      </w:pPr>
    </w:p>
    <w:p>
      <w:pPr>
        <w:ind w:left="648" w:right="260" w:hanging="234"/>
        <w:spacing w:after="0" w:line="282" w:lineRule="auto"/>
        <w:tabs>
          <w:tab w:leader="none" w:pos="649"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94" w:lineRule="exact"/>
        <w:rPr>
          <w:rFonts w:ascii="Times New Roman" w:cs="Times New Roman" w:eastAsia="Times New Roman" w:hAnsi="Times New Roman"/>
          <w:sz w:val="18"/>
          <w:szCs w:val="18"/>
          <w:color w:val="auto"/>
        </w:rPr>
      </w:pPr>
    </w:p>
    <w:p>
      <w:pPr>
        <w:ind w:left="648" w:right="60" w:hanging="234"/>
        <w:spacing w:after="0" w:line="282" w:lineRule="auto"/>
        <w:tabs>
          <w:tab w:leader="none" w:pos="65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90" w:lineRule="exact"/>
        <w:rPr>
          <w:rFonts w:ascii="Times New Roman" w:cs="Times New Roman" w:eastAsia="Times New Roman" w:hAnsi="Times New Roman"/>
          <w:sz w:val="18"/>
          <w:szCs w:val="18"/>
          <w:color w:val="auto"/>
        </w:rPr>
      </w:pPr>
    </w:p>
    <w:p>
      <w:pPr>
        <w:ind w:left="388" w:right="40" w:hanging="388"/>
        <w:spacing w:after="0" w:line="257" w:lineRule="auto"/>
        <w:tabs>
          <w:tab w:leader="none" w:pos="377"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01" w:lineRule="exact"/>
        <w:rPr>
          <w:rFonts w:ascii="Times New Roman" w:cs="Times New Roman" w:eastAsia="Times New Roman" w:hAnsi="Times New Roman"/>
          <w:sz w:val="18"/>
          <w:szCs w:val="18"/>
          <w:color w:val="auto"/>
        </w:rPr>
      </w:pPr>
    </w:p>
    <w:p>
      <w:pPr>
        <w:ind w:left="388" w:right="40" w:hanging="388"/>
        <w:spacing w:after="0" w:line="268" w:lineRule="auto"/>
        <w:tabs>
          <w:tab w:leader="none" w:pos="367"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03" w:lineRule="exact"/>
        <w:rPr>
          <w:sz w:val="20"/>
          <w:szCs w:val="20"/>
          <w:color w:val="auto"/>
        </w:rPr>
      </w:pPr>
    </w:p>
    <w:p>
      <w:pPr>
        <w:ind w:left="388" w:right="140" w:hanging="388"/>
        <w:spacing w:after="0" w:line="286" w:lineRule="auto"/>
        <w:tabs>
          <w:tab w:leader="none" w:pos="36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87"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 Date</w:t>
      </w:r>
      <w:r>
        <w:rPr>
          <w:rFonts w:ascii="Times New Roman" w:cs="Times New Roman" w:eastAsia="Times New Roman" w:hAnsi="Times New Roman"/>
          <w:sz w:val="18"/>
          <w:szCs w:val="18"/>
          <w:color w:val="auto"/>
        </w:rPr>
        <w:t>” means the date on which the Company completes an underwritten initial public offering of the Common Stock.</w:t>
      </w:r>
    </w:p>
    <w:p>
      <w:pPr>
        <w:spacing w:after="0" w:line="144" w:lineRule="exact"/>
        <w:rPr>
          <w:rFonts w:ascii="Times New Roman" w:cs="Times New Roman" w:eastAsia="Times New Roman" w:hAnsi="Times New Roman"/>
          <w:sz w:val="18"/>
          <w:szCs w:val="18"/>
          <w:color w:val="auto"/>
        </w:rPr>
      </w:pPr>
    </w:p>
    <w:p>
      <w:pPr>
        <w:ind w:left="388" w:right="20" w:hanging="388"/>
        <w:spacing w:after="0" w:line="254" w:lineRule="auto"/>
        <w:tabs>
          <w:tab w:leader="none" w:pos="36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20" w:lineRule="exact"/>
        <w:rPr>
          <w:rFonts w:ascii="Times New Roman" w:cs="Times New Roman" w:eastAsia="Times New Roman" w:hAnsi="Times New Roman"/>
          <w:sz w:val="18"/>
          <w:szCs w:val="18"/>
          <w:color w:val="auto"/>
        </w:rPr>
      </w:pPr>
    </w:p>
    <w:p>
      <w:pPr>
        <w:ind w:left="388" w:hanging="388"/>
        <w:spacing w:after="0" w:line="268" w:lineRule="auto"/>
        <w:tabs>
          <w:tab w:leader="none" w:pos="38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w:t>
      </w:r>
    </w:p>
    <w:p>
      <w:pPr>
        <w:spacing w:after="0" w:line="200" w:lineRule="exact"/>
        <w:rPr>
          <w:sz w:val="20"/>
          <w:szCs w:val="20"/>
          <w:color w:val="auto"/>
        </w:rPr>
      </w:pPr>
    </w:p>
    <w:p>
      <w:pPr>
        <w:spacing w:after="0" w:line="245"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Annex 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8"/>
          </w:cols>
          <w:pgMar w:left="652" w:top="617" w:right="379" w:bottom="1440" w:gutter="0" w:footer="0" w:header="0"/>
        </w:sectPr>
      </w:pPr>
    </w:p>
    <w:bookmarkStart w:id="323" w:name="page324"/>
    <w:bookmarkEnd w:id="323"/>
    <w:p>
      <w:pPr>
        <w:ind w:left="388" w:right="140"/>
        <w:spacing w:after="0" w:line="266" w:lineRule="auto"/>
        <w:rPr>
          <w:sz w:val="20"/>
          <w:szCs w:val="20"/>
          <w:color w:val="auto"/>
        </w:rPr>
      </w:pPr>
      <w:r>
        <w:rPr>
          <w:rFonts w:ascii="Times New Roman" w:cs="Times New Roman" w:eastAsia="Times New Roman" w:hAnsi="Times New Roman"/>
          <w:sz w:val="18"/>
          <w:szCs w:val="18"/>
          <w:color w:val="auto"/>
        </w:rPr>
        <w:t>pursuant to the Securities Act (“Regulation S-K”)),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91" w:lineRule="exact"/>
        <w:rPr>
          <w:sz w:val="20"/>
          <w:szCs w:val="20"/>
          <w:color w:val="auto"/>
        </w:rPr>
      </w:pPr>
    </w:p>
    <w:p>
      <w:pPr>
        <w:ind w:left="368" w:hanging="368"/>
        <w:spacing w:after="0"/>
        <w:tabs>
          <w:tab w:leader="none" w:pos="36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157"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157"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144" w:lineRule="exact"/>
        <w:rPr>
          <w:rFonts w:ascii="Times New Roman" w:cs="Times New Roman" w:eastAsia="Times New Roman" w:hAnsi="Times New Roman"/>
          <w:sz w:val="18"/>
          <w:szCs w:val="18"/>
          <w:color w:val="auto"/>
        </w:rPr>
      </w:pPr>
    </w:p>
    <w:p>
      <w:pPr>
        <w:ind w:left="388" w:right="20" w:hanging="388"/>
        <w:spacing w:after="0" w:line="262" w:lineRule="auto"/>
        <w:tabs>
          <w:tab w:leader="none" w:pos="382"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08" w:lineRule="exact"/>
        <w:rPr>
          <w:rFonts w:ascii="Times New Roman" w:cs="Times New Roman" w:eastAsia="Times New Roman" w:hAnsi="Times New Roman"/>
          <w:sz w:val="18"/>
          <w:szCs w:val="18"/>
          <w:color w:val="auto"/>
        </w:rPr>
      </w:pPr>
    </w:p>
    <w:p>
      <w:pPr>
        <w:ind w:left="548" w:right="760" w:hanging="548"/>
        <w:spacing w:after="0" w:line="286" w:lineRule="auto"/>
        <w:tabs>
          <w:tab w:leader="none" w:pos="53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87" w:lineRule="exact"/>
        <w:rPr>
          <w:rFonts w:ascii="Times New Roman" w:cs="Times New Roman" w:eastAsia="Times New Roman" w:hAnsi="Times New Roman"/>
          <w:sz w:val="18"/>
          <w:szCs w:val="18"/>
          <w:color w:val="auto"/>
        </w:rPr>
      </w:pPr>
    </w:p>
    <w:p>
      <w:pPr>
        <w:ind w:left="548" w:right="460" w:hanging="548"/>
        <w:spacing w:after="0" w:line="286" w:lineRule="auto"/>
        <w:tabs>
          <w:tab w:leader="none" w:pos="53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6(e).</w:t>
      </w:r>
    </w:p>
    <w:p>
      <w:pPr>
        <w:spacing w:after="0" w:line="73" w:lineRule="exact"/>
        <w:rPr>
          <w:rFonts w:ascii="Times New Roman" w:cs="Times New Roman" w:eastAsia="Times New Roman" w:hAnsi="Times New Roman"/>
          <w:sz w:val="18"/>
          <w:szCs w:val="18"/>
          <w:color w:val="auto"/>
        </w:rPr>
      </w:pPr>
    </w:p>
    <w:p>
      <w:pPr>
        <w:ind w:left="548" w:right="460" w:hanging="548"/>
        <w:spacing w:after="0" w:line="286" w:lineRule="auto"/>
        <w:tabs>
          <w:tab w:leader="none" w:pos="53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Award Agreement</w:t>
      </w:r>
      <w:r>
        <w:rPr>
          <w:rFonts w:ascii="Times New Roman" w:cs="Times New Roman" w:eastAsia="Times New Roman" w:hAnsi="Times New Roman"/>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87" w:lineRule="exact"/>
        <w:rPr>
          <w:rFonts w:ascii="Times New Roman" w:cs="Times New Roman" w:eastAsia="Times New Roman" w:hAnsi="Times New Roman"/>
          <w:sz w:val="18"/>
          <w:szCs w:val="18"/>
          <w:color w:val="auto"/>
        </w:rPr>
      </w:pPr>
    </w:p>
    <w:p>
      <w:pPr>
        <w:ind w:left="548" w:hanging="548"/>
        <w:spacing w:after="0" w:line="291" w:lineRule="auto"/>
        <w:tabs>
          <w:tab w:leader="none" w:pos="538"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Own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Owned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Owner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Ownership</w:t>
      </w:r>
      <w:r>
        <w:rPr>
          <w:rFonts w:ascii="Times New Roman" w:cs="Times New Roman" w:eastAsia="Times New Roman" w:hAnsi="Times New Roman"/>
          <w:sz w:val="17"/>
          <w:szCs w:val="17"/>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85" w:lineRule="exact"/>
        <w:rPr>
          <w:rFonts w:ascii="Times New Roman" w:cs="Times New Roman" w:eastAsia="Times New Roman" w:hAnsi="Times New Roman"/>
          <w:sz w:val="17"/>
          <w:szCs w:val="17"/>
          <w:color w:val="auto"/>
        </w:rPr>
      </w:pPr>
    </w:p>
    <w:p>
      <w:pPr>
        <w:ind w:left="548" w:right="440" w:hanging="548"/>
        <w:spacing w:after="0" w:line="286" w:lineRule="auto"/>
        <w:tabs>
          <w:tab w:leader="none" w:pos="543"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73" w:lineRule="exact"/>
        <w:rPr>
          <w:rFonts w:ascii="Times New Roman" w:cs="Times New Roman" w:eastAsia="Times New Roman" w:hAnsi="Times New Roman"/>
          <w:sz w:val="18"/>
          <w:szCs w:val="18"/>
          <w:color w:val="auto"/>
        </w:rPr>
      </w:pPr>
    </w:p>
    <w:p>
      <w:pPr>
        <w:ind w:left="548" w:right="80" w:hanging="548"/>
        <w:spacing w:after="0" w:line="257" w:lineRule="auto"/>
        <w:tabs>
          <w:tab w:leader="none" w:pos="53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Award</w:t>
      </w:r>
      <w:r>
        <w:rPr>
          <w:rFonts w:ascii="Times New Roman" w:cs="Times New Roman" w:eastAsia="Times New Roman" w:hAnsi="Times New Roman"/>
          <w:sz w:val="18"/>
          <w:szCs w:val="18"/>
          <w:color w:val="auto"/>
        </w:rPr>
        <w:t>” means a Restricted Stock Unit Award or other Award that may vest or may be exercised or a cash award that may vest or become earned and paid contingent upon the attainment during a Performance Period of certain Performance Goals and which is granted under the terms and conditions of Section 5 pursuant to such terms as are approved by the Board or the Committee. In addition, to the extent permitted by Applicable Law and set forth in the applicable Award Agreement, the Committee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14" w:lineRule="exact"/>
        <w:rPr>
          <w:rFonts w:ascii="Times New Roman" w:cs="Times New Roman" w:eastAsia="Times New Roman" w:hAnsi="Times New Roman"/>
          <w:sz w:val="18"/>
          <w:szCs w:val="18"/>
          <w:color w:val="auto"/>
        </w:rPr>
      </w:pPr>
    </w:p>
    <w:p>
      <w:pPr>
        <w:ind w:left="548" w:right="20" w:hanging="548"/>
        <w:spacing w:after="0" w:line="268" w:lineRule="auto"/>
        <w:tabs>
          <w:tab w:leader="none" w:pos="53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means the one or more criteria that the Board or Committee will select for purposes of establishing the Performance Goals for a Performance Period. The Performance Criteria that will be used to establish such Performance Goals may be based on any measure of performance selected by the Board or Committee.</w:t>
      </w:r>
    </w:p>
    <w:p>
      <w:pPr>
        <w:spacing w:after="0" w:line="103" w:lineRule="exact"/>
        <w:rPr>
          <w:rFonts w:ascii="Times New Roman" w:cs="Times New Roman" w:eastAsia="Times New Roman" w:hAnsi="Times New Roman"/>
          <w:sz w:val="18"/>
          <w:szCs w:val="18"/>
          <w:color w:val="auto"/>
        </w:rPr>
      </w:pPr>
    </w:p>
    <w:p>
      <w:pPr>
        <w:ind w:left="548" w:right="20" w:hanging="548"/>
        <w:spacing w:after="0" w:line="259" w:lineRule="auto"/>
        <w:tabs>
          <w:tab w:leader="none" w:pos="53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or Committee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w:t>
      </w:r>
    </w:p>
    <w:p>
      <w:pPr>
        <w:spacing w:after="0" w:line="200" w:lineRule="exact"/>
        <w:rPr>
          <w:sz w:val="20"/>
          <w:szCs w:val="20"/>
          <w:color w:val="auto"/>
        </w:rPr>
      </w:pPr>
    </w:p>
    <w:p>
      <w:pPr>
        <w:spacing w:after="0" w:line="253"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Annex 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8"/>
          </w:cols>
          <w:pgMar w:left="652" w:top="621" w:right="399" w:bottom="1440" w:gutter="0" w:footer="0" w:header="0"/>
        </w:sectPr>
      </w:pPr>
    </w:p>
    <w:bookmarkStart w:id="324" w:name="page325"/>
    <w:bookmarkEnd w:id="324"/>
    <w:p>
      <w:pPr>
        <w:ind w:left="548" w:right="20"/>
        <w:spacing w:after="0" w:line="268" w:lineRule="auto"/>
        <w:rPr>
          <w:sz w:val="20"/>
          <w:szCs w:val="20"/>
          <w:color w:val="auto"/>
        </w:rPr>
      </w:pPr>
      <w:r>
        <w:rPr>
          <w:rFonts w:ascii="Times New Roman" w:cs="Times New Roman" w:eastAsia="Times New Roman" w:hAnsi="Times New Roman"/>
          <w:sz w:val="17"/>
          <w:szCs w:val="17"/>
          <w:color w:val="auto"/>
        </w:rPr>
        <w:t>document setting forth the Performance Goals at the time the Performance Goals are established, the Board or Committee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U.S. Food and Drug Administration or any other regulatory body. In addition, the Committee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92" w:lineRule="exact"/>
        <w:rPr>
          <w:sz w:val="20"/>
          <w:szCs w:val="20"/>
          <w:color w:val="auto"/>
        </w:rPr>
      </w:pPr>
    </w:p>
    <w:p>
      <w:pPr>
        <w:ind w:left="548" w:right="480" w:hanging="548"/>
        <w:spacing w:after="0" w:line="268" w:lineRule="auto"/>
        <w:tabs>
          <w:tab w:leader="none" w:pos="53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period of time selected by the Committee or the Board over which the attainment of one or more Performance Goals will be measured for the purpose of determining a Participant’s right to vesting or exercise of an Award. Performance Periods may be of varying and overlapping duration, at the sole discretion of the Committee or the Board.</w:t>
      </w:r>
    </w:p>
    <w:p>
      <w:pPr>
        <w:spacing w:after="0" w:line="103" w:lineRule="exact"/>
        <w:rPr>
          <w:rFonts w:ascii="Times New Roman" w:cs="Times New Roman" w:eastAsia="Times New Roman" w:hAnsi="Times New Roman"/>
          <w:sz w:val="18"/>
          <w:szCs w:val="18"/>
          <w:color w:val="auto"/>
        </w:rPr>
      </w:pPr>
    </w:p>
    <w:p>
      <w:pPr>
        <w:ind w:left="508" w:hanging="508"/>
        <w:spacing w:after="0"/>
        <w:tabs>
          <w:tab w:leader="none" w:pos="50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Coeptis Therapeutics Holdings Inc. 2022 Equity Incentive Plan.</w:t>
      </w:r>
    </w:p>
    <w:p>
      <w:pPr>
        <w:spacing w:after="0" w:line="157" w:lineRule="exact"/>
        <w:rPr>
          <w:rFonts w:ascii="Times New Roman" w:cs="Times New Roman" w:eastAsia="Times New Roman" w:hAnsi="Times New Roman"/>
          <w:sz w:val="18"/>
          <w:szCs w:val="18"/>
          <w:color w:val="auto"/>
        </w:rPr>
      </w:pPr>
    </w:p>
    <w:p>
      <w:pPr>
        <w:ind w:left="548" w:right="280" w:hanging="548"/>
        <w:spacing w:after="0" w:line="286" w:lineRule="auto"/>
        <w:tabs>
          <w:tab w:leader="none" w:pos="53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day-to-day operations of the Plan and the Company’s other equity incentive programs.</w:t>
      </w:r>
    </w:p>
    <w:p>
      <w:pPr>
        <w:spacing w:after="0" w:line="73" w:lineRule="exact"/>
        <w:rPr>
          <w:rFonts w:ascii="Times New Roman" w:cs="Times New Roman" w:eastAsia="Times New Roman" w:hAnsi="Times New Roman"/>
          <w:sz w:val="18"/>
          <w:szCs w:val="18"/>
          <w:color w:val="auto"/>
        </w:rPr>
      </w:pPr>
    </w:p>
    <w:p>
      <w:pPr>
        <w:ind w:left="548" w:right="40" w:hanging="548"/>
        <w:spacing w:after="0" w:line="286" w:lineRule="auto"/>
        <w:tabs>
          <w:tab w:leader="none" w:pos="53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4(g) or Section 5(g), as applicable.</w:t>
      </w:r>
    </w:p>
    <w:p>
      <w:pPr>
        <w:spacing w:after="0" w:line="87" w:lineRule="exact"/>
        <w:rPr>
          <w:rFonts w:ascii="Times New Roman" w:cs="Times New Roman" w:eastAsia="Times New Roman" w:hAnsi="Times New Roman"/>
          <w:sz w:val="18"/>
          <w:szCs w:val="18"/>
          <w:color w:val="auto"/>
        </w:rPr>
      </w:pPr>
    </w:p>
    <w:p>
      <w:pPr>
        <w:ind w:left="548" w:right="240" w:hanging="548"/>
        <w:spacing w:after="0" w:line="286" w:lineRule="auto"/>
        <w:tabs>
          <w:tab w:leader="none" w:pos="53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6(a).</w:t>
      </w:r>
    </w:p>
    <w:p>
      <w:pPr>
        <w:spacing w:after="0" w:line="87" w:lineRule="exact"/>
        <w:rPr>
          <w:rFonts w:ascii="Times New Roman" w:cs="Times New Roman" w:eastAsia="Times New Roman" w:hAnsi="Times New Roman"/>
          <w:sz w:val="18"/>
          <w:szCs w:val="18"/>
          <w:color w:val="auto"/>
        </w:rPr>
      </w:pPr>
    </w:p>
    <w:p>
      <w:pPr>
        <w:ind w:left="548" w:hanging="548"/>
        <w:spacing w:after="0" w:line="259" w:lineRule="auto"/>
        <w:tabs>
          <w:tab w:leader="none" w:pos="53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98" w:lineRule="exact"/>
        <w:rPr>
          <w:rFonts w:ascii="Times New Roman" w:cs="Times New Roman" w:eastAsia="Times New Roman" w:hAnsi="Times New Roman"/>
          <w:sz w:val="18"/>
          <w:szCs w:val="18"/>
          <w:color w:val="auto"/>
        </w:rPr>
      </w:pPr>
    </w:p>
    <w:p>
      <w:pPr>
        <w:ind w:left="548" w:right="320" w:hanging="548"/>
        <w:spacing w:after="0" w:line="286" w:lineRule="auto"/>
        <w:tabs>
          <w:tab w:leader="none" w:pos="523"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6(b).</w:t>
      </w:r>
    </w:p>
    <w:p>
      <w:pPr>
        <w:spacing w:after="0" w:line="87" w:lineRule="exact"/>
        <w:rPr>
          <w:rFonts w:ascii="Times New Roman" w:cs="Times New Roman" w:eastAsia="Times New Roman" w:hAnsi="Times New Roman"/>
          <w:sz w:val="18"/>
          <w:szCs w:val="18"/>
          <w:color w:val="auto"/>
        </w:rPr>
      </w:pPr>
    </w:p>
    <w:p>
      <w:pPr>
        <w:ind w:left="548" w:right="60" w:hanging="548"/>
        <w:spacing w:after="0" w:line="268" w:lineRule="auto"/>
        <w:tabs>
          <w:tab w:leader="none" w:pos="53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Award Agreement</w:t>
      </w:r>
      <w:r>
        <w:rPr>
          <w:rFonts w:ascii="Times New Roman" w:cs="Times New Roman" w:eastAsia="Times New Roman" w:hAnsi="Times New Roman"/>
          <w:sz w:val="18"/>
          <w:szCs w:val="18"/>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w:t>
      </w:r>
    </w:p>
    <w:p>
      <w:pPr>
        <w:spacing w:after="0" w:line="200" w:lineRule="exact"/>
        <w:rPr>
          <w:sz w:val="20"/>
          <w:szCs w:val="20"/>
          <w:color w:val="auto"/>
        </w:rPr>
      </w:pPr>
    </w:p>
    <w:p>
      <w:pPr>
        <w:spacing w:after="0" w:line="24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Annex 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621" w:right="359" w:bottom="1440" w:gutter="0" w:footer="0" w:header="0"/>
        </w:sectPr>
      </w:pPr>
    </w:p>
    <w:bookmarkStart w:id="325" w:name="page326"/>
    <w:bookmarkEnd w:id="325"/>
    <w:p>
      <w:pPr>
        <w:ind w:left="548" w:right="460"/>
        <w:spacing w:after="0" w:line="282" w:lineRule="auto"/>
        <w:rPr>
          <w:sz w:val="20"/>
          <w:szCs w:val="20"/>
          <w:color w:val="auto"/>
        </w:rPr>
      </w:pPr>
      <w:r>
        <w:rPr>
          <w:rFonts w:ascii="Times New Roman" w:cs="Times New Roman" w:eastAsia="Times New Roman" w:hAnsi="Times New Roman"/>
          <w:sz w:val="18"/>
          <w:szCs w:val="18"/>
          <w:color w:val="auto"/>
        </w:rPr>
        <w:t>terms and conditions applicable to the RSU Award and which is provided to a Participant along with the Grant Notice. Each RSU Award Agreement will be subject to the terms and conditions of the Plan.</w:t>
      </w:r>
    </w:p>
    <w:p>
      <w:pPr>
        <w:spacing w:after="0" w:line="77" w:lineRule="exact"/>
        <w:rPr>
          <w:sz w:val="20"/>
          <w:szCs w:val="20"/>
          <w:color w:val="auto"/>
        </w:rPr>
      </w:pPr>
    </w:p>
    <w:p>
      <w:pPr>
        <w:ind w:left="528" w:hanging="528"/>
        <w:spacing w:after="0"/>
        <w:tabs>
          <w:tab w:leader="none" w:pos="52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157" w:lineRule="exact"/>
        <w:rPr>
          <w:rFonts w:ascii="Times New Roman" w:cs="Times New Roman" w:eastAsia="Times New Roman" w:hAnsi="Times New Roman"/>
          <w:sz w:val="18"/>
          <w:szCs w:val="18"/>
          <w:color w:val="auto"/>
        </w:rPr>
      </w:pPr>
    </w:p>
    <w:p>
      <w:pPr>
        <w:ind w:left="508" w:hanging="508"/>
        <w:spacing w:after="0"/>
        <w:tabs>
          <w:tab w:leader="none" w:pos="50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158" w:lineRule="exact"/>
        <w:rPr>
          <w:sz w:val="20"/>
          <w:szCs w:val="20"/>
          <w:color w:val="auto"/>
        </w:rPr>
      </w:pPr>
    </w:p>
    <w:p>
      <w:pPr>
        <w:ind w:left="528" w:hanging="528"/>
        <w:spacing w:after="0"/>
        <w:tabs>
          <w:tab w:leader="none" w:pos="52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144" w:lineRule="exact"/>
        <w:rPr>
          <w:rFonts w:ascii="Times New Roman" w:cs="Times New Roman" w:eastAsia="Times New Roman" w:hAnsi="Times New Roman"/>
          <w:sz w:val="18"/>
          <w:szCs w:val="18"/>
          <w:color w:val="auto"/>
        </w:rPr>
      </w:pPr>
    </w:p>
    <w:p>
      <w:pPr>
        <w:ind w:left="548" w:hanging="548"/>
        <w:spacing w:after="0" w:line="268" w:lineRule="auto"/>
        <w:tabs>
          <w:tab w:leader="none" w:pos="53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03" w:lineRule="exact"/>
        <w:rPr>
          <w:rFonts w:ascii="Times New Roman" w:cs="Times New Roman" w:eastAsia="Times New Roman" w:hAnsi="Times New Roman"/>
          <w:sz w:val="18"/>
          <w:szCs w:val="18"/>
          <w:color w:val="auto"/>
        </w:rPr>
      </w:pPr>
    </w:p>
    <w:p>
      <w:pPr>
        <w:ind w:left="528" w:hanging="528"/>
        <w:spacing w:after="0"/>
        <w:tabs>
          <w:tab w:leader="none" w:pos="52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7" w:lineRule="exact"/>
        <w:rPr>
          <w:rFonts w:ascii="Times New Roman" w:cs="Times New Roman" w:eastAsia="Times New Roman" w:hAnsi="Times New Roman"/>
          <w:sz w:val="18"/>
          <w:szCs w:val="18"/>
          <w:color w:val="auto"/>
        </w:rPr>
      </w:pPr>
    </w:p>
    <w:p>
      <w:pPr>
        <w:ind w:left="528" w:hanging="528"/>
        <w:spacing w:after="0"/>
        <w:tabs>
          <w:tab w:leader="none" w:pos="52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144" w:lineRule="exact"/>
        <w:rPr>
          <w:rFonts w:ascii="Times New Roman" w:cs="Times New Roman" w:eastAsia="Times New Roman" w:hAnsi="Times New Roman"/>
          <w:sz w:val="18"/>
          <w:szCs w:val="18"/>
          <w:color w:val="auto"/>
        </w:rPr>
      </w:pPr>
    </w:p>
    <w:p>
      <w:pPr>
        <w:ind w:left="548" w:right="140" w:hanging="548"/>
        <w:spacing w:after="0" w:line="286" w:lineRule="auto"/>
        <w:tabs>
          <w:tab w:leader="none" w:pos="54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5.</w:t>
      </w:r>
    </w:p>
    <w:p>
      <w:pPr>
        <w:spacing w:after="0" w:line="87" w:lineRule="exact"/>
        <w:rPr>
          <w:rFonts w:ascii="Times New Roman" w:cs="Times New Roman" w:eastAsia="Times New Roman" w:hAnsi="Times New Roman"/>
          <w:sz w:val="18"/>
          <w:szCs w:val="18"/>
          <w:color w:val="auto"/>
        </w:rPr>
      </w:pPr>
    </w:p>
    <w:p>
      <w:pPr>
        <w:ind w:left="548" w:right="20" w:hanging="548"/>
        <w:spacing w:after="0" w:line="262" w:lineRule="auto"/>
        <w:tabs>
          <w:tab w:leader="none" w:pos="53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 Agreement</w:t>
      </w:r>
      <w:r>
        <w:rPr>
          <w:rFonts w:ascii="Times New Roman" w:cs="Times New Roman" w:eastAsia="Times New Roman" w:hAnsi="Times New Roman"/>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08" w:lineRule="exact"/>
        <w:rPr>
          <w:rFonts w:ascii="Times New Roman" w:cs="Times New Roman" w:eastAsia="Times New Roman" w:hAnsi="Times New Roman"/>
          <w:sz w:val="18"/>
          <w:szCs w:val="18"/>
          <w:color w:val="auto"/>
        </w:rPr>
      </w:pPr>
    </w:p>
    <w:p>
      <w:pPr>
        <w:ind w:left="548" w:right="120" w:hanging="548"/>
        <w:spacing w:after="0" w:line="259" w:lineRule="auto"/>
        <w:tabs>
          <w:tab w:leader="none" w:pos="53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98" w:lineRule="exact"/>
        <w:rPr>
          <w:rFonts w:ascii="Times New Roman" w:cs="Times New Roman" w:eastAsia="Times New Roman" w:hAnsi="Times New Roman"/>
          <w:sz w:val="18"/>
          <w:szCs w:val="18"/>
          <w:color w:val="auto"/>
        </w:rPr>
      </w:pPr>
    </w:p>
    <w:p>
      <w:pPr>
        <w:ind w:left="548" w:right="120" w:hanging="548"/>
        <w:spacing w:after="0" w:line="286" w:lineRule="auto"/>
        <w:tabs>
          <w:tab w:leader="none" w:pos="53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87" w:lineRule="exact"/>
        <w:rPr>
          <w:rFonts w:ascii="Times New Roman" w:cs="Times New Roman" w:eastAsia="Times New Roman" w:hAnsi="Times New Roman"/>
          <w:sz w:val="18"/>
          <w:szCs w:val="18"/>
          <w:color w:val="auto"/>
        </w:rPr>
      </w:pPr>
    </w:p>
    <w:p>
      <w:pPr>
        <w:ind w:left="548" w:right="200" w:hanging="548"/>
        <w:spacing w:after="0" w:line="286" w:lineRule="auto"/>
        <w:tabs>
          <w:tab w:leader="none" w:pos="54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200" w:lineRule="exact"/>
        <w:rPr>
          <w:sz w:val="20"/>
          <w:szCs w:val="20"/>
          <w:color w:val="auto"/>
        </w:rPr>
      </w:pPr>
    </w:p>
    <w:p>
      <w:pPr>
        <w:spacing w:after="0" w:line="229"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18"/>
          <w:szCs w:val="18"/>
          <w:color w:val="auto"/>
        </w:rPr>
        <w:t>Annex 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8"/>
          </w:cols>
          <w:pgMar w:left="652" w:top="621" w:right="41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262 of the General Corporation Law of the State of Delaware</w:t>
      </w:r>
    </w:p>
    <w:p>
      <w:pPr>
        <w:spacing w:after="0" w:line="148" w:lineRule="exact"/>
        <w:rPr>
          <w:sz w:val="20"/>
          <w:szCs w:val="20"/>
          <w:color w:val="auto"/>
        </w:rPr>
      </w:pPr>
    </w:p>
    <w:p>
      <w:pPr>
        <w:ind w:right="120" w:firstLine="440"/>
        <w:spacing w:after="0" w:line="257" w:lineRule="auto"/>
        <w:tabs>
          <w:tab w:leader="none" w:pos="66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w:t>
      </w:r>
    </w:p>
    <w:p>
      <w:pPr>
        <w:spacing w:after="0" w:line="1" w:lineRule="exact"/>
        <w:rPr>
          <w:rFonts w:ascii="Times New Roman" w:cs="Times New Roman" w:eastAsia="Times New Roman" w:hAnsi="Times New Roman"/>
          <w:sz w:val="18"/>
          <w:szCs w:val="18"/>
          <w:color w:val="auto"/>
        </w:rPr>
      </w:pPr>
    </w:p>
    <w:p>
      <w:pPr>
        <w:ind w:firstLine="8"/>
        <w:spacing w:after="0" w:line="253" w:lineRule="auto"/>
        <w:tabs>
          <w:tab w:leader="none" w:pos="13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19" w:lineRule="exact"/>
        <w:rPr>
          <w:rFonts w:ascii="Times New Roman" w:cs="Times New Roman" w:eastAsia="Times New Roman" w:hAnsi="Times New Roman"/>
          <w:sz w:val="18"/>
          <w:szCs w:val="18"/>
          <w:color w:val="auto"/>
        </w:rPr>
      </w:pPr>
    </w:p>
    <w:p>
      <w:pPr>
        <w:ind w:right="220" w:firstLine="440"/>
        <w:spacing w:after="0" w:line="266" w:lineRule="auto"/>
        <w:tabs>
          <w:tab w:leader="none" w:pos="677"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108" w:lineRule="exact"/>
        <w:rPr>
          <w:rFonts w:ascii="Times New Roman" w:cs="Times New Roman" w:eastAsia="Times New Roman" w:hAnsi="Times New Roman"/>
          <w:sz w:val="18"/>
          <w:szCs w:val="18"/>
          <w:color w:val="auto"/>
        </w:rPr>
      </w:pPr>
    </w:p>
    <w:p>
      <w:pPr>
        <w:ind w:left="440" w:right="40" w:firstLine="432"/>
        <w:spacing w:after="0" w:line="256" w:lineRule="auto"/>
        <w:tabs>
          <w:tab w:leader="none" w:pos="1127"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06" w:lineRule="exact"/>
        <w:rPr>
          <w:rFonts w:ascii="Times New Roman" w:cs="Times New Roman" w:eastAsia="Times New Roman" w:hAnsi="Times New Roman"/>
          <w:sz w:val="18"/>
          <w:szCs w:val="18"/>
          <w:color w:val="auto"/>
        </w:rPr>
      </w:pPr>
    </w:p>
    <w:p>
      <w:pPr>
        <w:jc w:val="both"/>
        <w:ind w:left="440" w:right="40" w:firstLine="432"/>
        <w:spacing w:after="0" w:line="266" w:lineRule="auto"/>
        <w:tabs>
          <w:tab w:leader="none" w:pos="1127"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108"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3"/>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depository receipts in respect thereof;</w:t>
      </w:r>
    </w:p>
    <w:p>
      <w:pPr>
        <w:spacing w:after="0" w:line="157" w:lineRule="exact"/>
        <w:rPr>
          <w:rFonts w:ascii="Times New Roman" w:cs="Times New Roman" w:eastAsia="Times New Roman" w:hAnsi="Times New Roman"/>
          <w:sz w:val="18"/>
          <w:szCs w:val="18"/>
          <w:color w:val="auto"/>
        </w:rPr>
      </w:pPr>
    </w:p>
    <w:p>
      <w:pPr>
        <w:ind w:left="880" w:right="120" w:firstLine="424"/>
        <w:spacing w:after="0" w:line="266" w:lineRule="auto"/>
        <w:tabs>
          <w:tab w:leader="none" w:pos="1492" w:val="left"/>
        </w:tabs>
        <w:numPr>
          <w:ilvl w:val="3"/>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94"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3"/>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in lieu of fractional shares or fractional depository receipts described in the foregoing paragraphs (b)(2)a. and b. of this section; or</w:t>
      </w:r>
    </w:p>
    <w:p>
      <w:pPr>
        <w:spacing w:after="0" w:line="169" w:lineRule="exact"/>
        <w:rPr>
          <w:rFonts w:ascii="Times New Roman" w:cs="Times New Roman" w:eastAsia="Times New Roman" w:hAnsi="Times New Roman"/>
          <w:sz w:val="17"/>
          <w:szCs w:val="17"/>
          <w:color w:val="auto"/>
        </w:rPr>
      </w:pPr>
    </w:p>
    <w:p>
      <w:pPr>
        <w:ind w:left="880" w:right="560" w:firstLine="424"/>
        <w:spacing w:after="0" w:line="282" w:lineRule="auto"/>
        <w:tabs>
          <w:tab w:leader="none" w:pos="1482" w:val="left"/>
        </w:tabs>
        <w:numPr>
          <w:ilvl w:val="3"/>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94" w:lineRule="exact"/>
        <w:rPr>
          <w:rFonts w:ascii="Times New Roman" w:cs="Times New Roman" w:eastAsia="Times New Roman" w:hAnsi="Times New Roman"/>
          <w:sz w:val="18"/>
          <w:szCs w:val="18"/>
          <w:color w:val="auto"/>
        </w:rPr>
      </w:pPr>
    </w:p>
    <w:p>
      <w:pPr>
        <w:ind w:left="440" w:right="200" w:firstLine="432"/>
        <w:spacing w:after="0" w:line="282" w:lineRule="auto"/>
        <w:tabs>
          <w:tab w:leader="none" w:pos="1127"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80"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157" w:lineRule="exact"/>
        <w:rPr>
          <w:rFonts w:ascii="Times New Roman" w:cs="Times New Roman" w:eastAsia="Times New Roman" w:hAnsi="Times New Roman"/>
          <w:sz w:val="18"/>
          <w:szCs w:val="18"/>
          <w:color w:val="auto"/>
        </w:rPr>
      </w:pPr>
    </w:p>
    <w:p>
      <w:pPr>
        <w:ind w:right="80" w:firstLine="440"/>
        <w:spacing w:after="0" w:line="261" w:lineRule="auto"/>
        <w:tabs>
          <w:tab w:leader="none" w:pos="667"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(d),(e), and (g) of this section, shall apply as nearly as is practicable.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7" w:name="page328"/>
    <w:bookmarkEnd w:id="327"/>
    <w:p>
      <w:pPr>
        <w:ind w:left="640" w:hanging="240"/>
        <w:spacing w:after="0"/>
        <w:tabs>
          <w:tab w:leader="none" w:pos="6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44" w:lineRule="exact"/>
        <w:rPr>
          <w:rFonts w:ascii="Times New Roman" w:cs="Times New Roman" w:eastAsia="Times New Roman" w:hAnsi="Times New Roman"/>
          <w:sz w:val="18"/>
          <w:szCs w:val="18"/>
          <w:color w:val="auto"/>
        </w:rPr>
      </w:pPr>
    </w:p>
    <w:p>
      <w:pPr>
        <w:ind w:left="400" w:right="20" w:firstLine="432"/>
        <w:spacing w:after="0" w:line="252" w:lineRule="auto"/>
        <w:tabs>
          <w:tab w:leader="none" w:pos="108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29" w:lineRule="exact"/>
        <w:rPr>
          <w:rFonts w:ascii="Times New Roman" w:cs="Times New Roman" w:eastAsia="Times New Roman" w:hAnsi="Times New Roman"/>
          <w:sz w:val="18"/>
          <w:szCs w:val="18"/>
          <w:color w:val="auto"/>
        </w:rPr>
      </w:pPr>
    </w:p>
    <w:p>
      <w:pPr>
        <w:ind w:left="400" w:firstLine="432"/>
        <w:spacing w:after="0" w:line="251" w:lineRule="auto"/>
        <w:tabs>
          <w:tab w:leader="none" w:pos="108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37" w:lineRule="exact"/>
        <w:rPr>
          <w:rFonts w:ascii="Times New Roman" w:cs="Times New Roman" w:eastAsia="Times New Roman" w:hAnsi="Times New Roman"/>
          <w:sz w:val="18"/>
          <w:szCs w:val="18"/>
          <w:color w:val="auto"/>
        </w:rPr>
      </w:pPr>
    </w:p>
    <w:p>
      <w:pPr>
        <w:ind w:left="-40" w:right="240" w:firstLine="440"/>
        <w:spacing w:after="0" w:line="266" w:lineRule="auto"/>
        <w:tabs>
          <w:tab w:leader="none" w:pos="633"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1323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621" w:right="359" w:bottom="1440" w:gutter="0" w:footer="0" w:header="0"/>
        </w:sectPr>
      </w:pPr>
    </w:p>
    <w:bookmarkStart w:id="328" w:name="page329"/>
    <w:bookmarkEnd w:id="328"/>
    <w:p>
      <w:pPr>
        <w:spacing w:after="0" w:line="252" w:lineRule="auto"/>
        <w:rPr>
          <w:sz w:val="20"/>
          <w:szCs w:val="20"/>
          <w:color w:val="auto"/>
        </w:rPr>
      </w:pPr>
      <w:r>
        <w:rPr>
          <w:rFonts w:ascii="Times New Roman" w:cs="Times New Roman" w:eastAsia="Times New Roman" w:hAnsi="Times New Roman"/>
          <w:sz w:val="18"/>
          <w:szCs w:val="18"/>
          <w:color w:val="auto"/>
        </w:rPr>
        <w:t>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16" w:lineRule="exact"/>
        <w:rPr>
          <w:sz w:val="20"/>
          <w:szCs w:val="20"/>
          <w:color w:val="auto"/>
        </w:rPr>
      </w:pPr>
    </w:p>
    <w:p>
      <w:pPr>
        <w:ind w:right="60" w:firstLine="440"/>
        <w:spacing w:after="0" w:line="254" w:lineRule="auto"/>
        <w:tabs>
          <w:tab w:leader="none" w:pos="657"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20" w:lineRule="exact"/>
        <w:rPr>
          <w:rFonts w:ascii="Times New Roman" w:cs="Times New Roman" w:eastAsia="Times New Roman" w:hAnsi="Times New Roman"/>
          <w:sz w:val="18"/>
          <w:szCs w:val="18"/>
          <w:color w:val="auto"/>
        </w:rPr>
      </w:pPr>
    </w:p>
    <w:p>
      <w:pPr>
        <w:ind w:right="20" w:firstLine="440"/>
        <w:spacing w:after="0" w:line="254" w:lineRule="auto"/>
        <w:tabs>
          <w:tab w:leader="none" w:pos="677"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24" w:lineRule="exact"/>
        <w:rPr>
          <w:rFonts w:ascii="Times New Roman" w:cs="Times New Roman" w:eastAsia="Times New Roman" w:hAnsi="Times New Roman"/>
          <w:sz w:val="18"/>
          <w:szCs w:val="18"/>
          <w:color w:val="auto"/>
        </w:rPr>
      </w:pPr>
    </w:p>
    <w:p>
      <w:pPr>
        <w:ind w:right="20" w:firstLine="440"/>
        <w:spacing w:after="0" w:line="253" w:lineRule="auto"/>
        <w:tabs>
          <w:tab w:leader="none" w:pos="677"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329" w:name="page330"/>
    <w:bookmarkEnd w:id="329"/>
    <w:p>
      <w:pPr>
        <w:ind w:right="40"/>
        <w:spacing w:after="0" w:line="258" w:lineRule="auto"/>
        <w:rPr>
          <w:sz w:val="20"/>
          <w:szCs w:val="20"/>
          <w:color w:val="auto"/>
        </w:rPr>
      </w:pPr>
      <w:r>
        <w:rPr>
          <w:rFonts w:ascii="Times New Roman" w:cs="Times New Roman" w:eastAsia="Times New Roman" w:hAnsi="Times New Roman"/>
          <w:sz w:val="18"/>
          <w:szCs w:val="18"/>
          <w:color w:val="auto"/>
        </w:rPr>
        <w:t>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02" w:lineRule="exact"/>
        <w:rPr>
          <w:sz w:val="20"/>
          <w:szCs w:val="20"/>
          <w:color w:val="auto"/>
        </w:rPr>
      </w:pPr>
    </w:p>
    <w:p>
      <w:pPr>
        <w:ind w:firstLine="440"/>
        <w:spacing w:after="0" w:line="258" w:lineRule="auto"/>
        <w:tabs>
          <w:tab w:leader="none" w:pos="64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15" w:lineRule="exact"/>
        <w:rPr>
          <w:rFonts w:ascii="Times New Roman" w:cs="Times New Roman" w:eastAsia="Times New Roman" w:hAnsi="Times New Roman"/>
          <w:sz w:val="18"/>
          <w:szCs w:val="18"/>
          <w:color w:val="auto"/>
        </w:rPr>
      </w:pPr>
    </w:p>
    <w:p>
      <w:pPr>
        <w:jc w:val="both"/>
        <w:ind w:right="140" w:firstLine="440"/>
        <w:spacing w:after="0" w:line="261" w:lineRule="auto"/>
        <w:tabs>
          <w:tab w:leader="none" w:pos="64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12"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of the merger or consolidation, no stockholder who has demanded appraisal rights as provided in subsection</w:t>
      </w:r>
    </w:p>
    <w:p>
      <w:pPr>
        <w:spacing w:after="0" w:line="27" w:lineRule="exact"/>
        <w:rPr>
          <w:rFonts w:ascii="Times New Roman" w:cs="Times New Roman" w:eastAsia="Times New Roman" w:hAnsi="Times New Roman"/>
          <w:sz w:val="18"/>
          <w:szCs w:val="18"/>
          <w:color w:val="auto"/>
        </w:rPr>
      </w:pPr>
    </w:p>
    <w:p>
      <w:pPr>
        <w:ind w:firstLine="8"/>
        <w:spacing w:after="0" w:line="251" w:lineRule="auto"/>
        <w:tabs>
          <w:tab w:leader="none" w:pos="25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11" w:lineRule="exact"/>
        <w:rPr>
          <w:rFonts w:ascii="Times New Roman" w:cs="Times New Roman" w:eastAsia="Times New Roman" w:hAnsi="Times New Roman"/>
          <w:sz w:val="18"/>
          <w:szCs w:val="18"/>
          <w:color w:val="auto"/>
        </w:rPr>
      </w:pPr>
    </w:p>
    <w:p>
      <w:pPr>
        <w:ind w:right="540" w:firstLine="440"/>
        <w:spacing w:after="0" w:line="282" w:lineRule="auto"/>
        <w:tabs>
          <w:tab w:leader="none" w:pos="644"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PROXY CARD — SUBJECT TO COMPLETION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COEPTIS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26, 2022 10:00 A.M. 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proxy is solicited by the Board of Directors</w:t>
      </w:r>
    </w:p>
    <w:p>
      <w:pPr>
        <w:spacing w:after="0" w:line="207"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undersigned stockholder(s) of COEPTIS THERAPEUTICS, INC. hereby appoints David Mehalick and Daniel Yerace and each of them (with full power to act alone), proxies, each with the power to appoint his substitute, and hereby authorizes them to represent and to vote, as designated on the reverse side of this ballot, all of the shares of common stock of COEPTIS THERAPEUTICS, INC. that the undersigned stockholders are entitled to vote at the Special Meeting of Stockholders to be held at 10:00 A.M. ET on October 26, 2022, at www.virtualshareholdermeeting.com/COEP2022SM, and any adjournment or postponement thereof.</w:t>
      </w:r>
    </w:p>
    <w:p>
      <w:pPr>
        <w:spacing w:after="0" w:line="179" w:lineRule="exact"/>
        <w:rPr>
          <w:sz w:val="20"/>
          <w:szCs w:val="20"/>
          <w:color w:val="auto"/>
        </w:rPr>
      </w:pPr>
    </w:p>
    <w:p>
      <w:pPr>
        <w:ind w:right="14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THIS PROXY WILL BE VOTED IN THE MANNER DIRECTED HEREIN BY THE UNDERSIGNED STOCKHOLDERS. IF NO SUCH DIRECTION IS MADE, THIS PROXY WILL BE VOTED “FOR” PROPOSALS 1 AND 2. THIS PROXY WILL REVOKE ALL PRIOR PROXIES SIGNED BY YOU.</w:t>
      </w:r>
    </w:p>
    <w:p>
      <w:pPr>
        <w:spacing w:after="0" w:line="175" w:lineRule="exact"/>
        <w:rPr>
          <w:sz w:val="20"/>
          <w:szCs w:val="20"/>
          <w:color w:val="auto"/>
        </w:rPr>
      </w:pPr>
    </w:p>
    <w:p>
      <w:pPr>
        <w:ind w:right="1260" w:firstLine="432"/>
        <w:spacing w:after="0" w:line="282" w:lineRule="auto"/>
        <w:rPr>
          <w:sz w:val="20"/>
          <w:szCs w:val="20"/>
          <w:color w:val="auto"/>
        </w:rPr>
      </w:pPr>
      <w:r>
        <w:rPr>
          <w:rFonts w:ascii="Times New Roman" w:cs="Times New Roman" w:eastAsia="Times New Roman" w:hAnsi="Times New Roman"/>
          <w:sz w:val="18"/>
          <w:szCs w:val="18"/>
          <w:color w:val="auto"/>
        </w:rPr>
        <w:t>Important Notice Regarding the Availability of Proxy Materials for the Special Meeting: The Special Proxy Statement is available at www.proxyvote.com.</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1 — The Business Combination Proposal</w:t>
            </w:r>
          </w:p>
        </w:tc>
        <w:tc>
          <w:tcPr>
            <w:tcW w:w="1000" w:type="dxa"/>
            <w:vAlign w:val="bottom"/>
          </w:tcPr>
          <w:p>
            <w:pPr>
              <w:spacing w:after="0"/>
              <w:rPr>
                <w:sz w:val="17"/>
                <w:szCs w:val="17"/>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0" w:type="dxa"/>
            <w:vAlign w:val="bottom"/>
          </w:tcPr>
          <w:p>
            <w:pPr>
              <w:spacing w:after="0"/>
              <w:rPr>
                <w:sz w:val="1"/>
                <w:szCs w:val="1"/>
                <w:color w:val="auto"/>
              </w:rPr>
            </w:pPr>
          </w:p>
        </w:tc>
      </w:tr>
      <w:tr>
        <w:trPr>
          <w:trHeight w:val="241"/>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consider and vote upon a proposal to approve the Agreement and Plan of Merger dated effective as</w:t>
            </w:r>
          </w:p>
        </w:tc>
        <w:tc>
          <w:tcPr>
            <w:tcW w:w="104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April 18, 2022 (as amended or supplemented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w:t>
            </w: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among Bull Horn Holdings Corp. (“</w:t>
            </w:r>
            <w:r>
              <w:rPr>
                <w:rFonts w:ascii="Times New Roman" w:cs="Times New Roman" w:eastAsia="Times New Roman" w:hAnsi="Times New Roman"/>
                <w:sz w:val="18"/>
                <w:szCs w:val="18"/>
                <w:b w:val="1"/>
                <w:bCs w:val="1"/>
                <w:color w:val="auto"/>
              </w:rPr>
              <w:t>Bull Horn</w:t>
            </w:r>
            <w:r>
              <w:rPr>
                <w:rFonts w:ascii="Times New Roman" w:cs="Times New Roman" w:eastAsia="Times New Roman" w:hAnsi="Times New Roman"/>
                <w:sz w:val="18"/>
                <w:szCs w:val="18"/>
                <w:color w:val="auto"/>
              </w:rPr>
              <w:t>”), BH Merger Sub Inc., a Delaware corporation and a</w:t>
            </w: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wholly-owned subsidiary of Bull Horn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Coeptis Therapeutics, Inc., a Delaware</w:t>
            </w: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corporation (“Coeptis”), and the transactions contemplated by the Merger Agreement, including the</w:t>
            </w: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receipt of the merger consideration thereunder (collectively,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Pursuant to</w:t>
            </w: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Merger Agreement, Merger Sub will merge with and into Coeptis, with Coeptis continuing as the</w:t>
            </w: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surviving entity of the Business Combination and becoming a wholly-owned subsidiary of Bull Horn as</w:t>
            </w: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described in more detail in the attached proxy statement.</w:t>
            </w: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2 — The Adjournment Proposal</w:t>
            </w:r>
          </w:p>
        </w:tc>
        <w:tc>
          <w:tcPr>
            <w:tcW w:w="1000" w:type="dxa"/>
            <w:vAlign w:val="bottom"/>
          </w:tcPr>
          <w:p>
            <w:pPr>
              <w:spacing w:after="0"/>
              <w:rPr>
                <w:sz w:val="24"/>
                <w:szCs w:val="24"/>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0" w:type="dxa"/>
            <w:vAlign w:val="bottom"/>
          </w:tcPr>
          <w:p>
            <w:pPr>
              <w:spacing w:after="0"/>
              <w:rPr>
                <w:sz w:val="1"/>
                <w:szCs w:val="1"/>
                <w:color w:val="auto"/>
              </w:rPr>
            </w:pPr>
          </w:p>
        </w:tc>
      </w:tr>
      <w:tr>
        <w:trPr>
          <w:trHeight w:val="414"/>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consider and vote on a proposal to adjourn the special meeting to a later date or dates if necessary or</w:t>
            </w:r>
          </w:p>
        </w:tc>
        <w:tc>
          <w:tcPr>
            <w:tcW w:w="104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appropriate to solicit additional proxies if there are insufficient votes to approve the Business</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Combination Proposal at the time of the special meeting.</w:t>
            </w: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40" w:type="dxa"/>
            <w:vAlign w:val="bottom"/>
            <w:tcBorders>
              <w:bottom w:val="single" w:sz="8" w:color="auto"/>
            </w:tcBorders>
          </w:tcPr>
          <w:p>
            <w:pPr>
              <w:spacing w:after="0"/>
              <w:rPr>
                <w:sz w:val="24"/>
                <w:szCs w:val="24"/>
                <w:color w:val="auto"/>
              </w:rPr>
            </w:pPr>
          </w:p>
        </w:tc>
        <w:tc>
          <w:tcPr>
            <w:tcW w:w="4820" w:type="dxa"/>
            <w:vAlign w:val="bottom"/>
            <w:tcBorders>
              <w:top w:val="single" w:sz="8" w:color="auto"/>
              <w:bottom w:val="single" w:sz="8" w:color="auto"/>
            </w:tcBorders>
          </w:tcPr>
          <w:p>
            <w:pPr>
              <w:spacing w:after="0"/>
              <w:rPr>
                <w:sz w:val="24"/>
                <w:szCs w:val="24"/>
                <w:color w:val="auto"/>
              </w:rPr>
            </w:pPr>
          </w:p>
        </w:tc>
        <w:tc>
          <w:tcPr>
            <w:tcW w:w="1100" w:type="dxa"/>
            <w:vAlign w:val="bottom"/>
            <w:vMerge w:val="restart"/>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1100" w:type="dxa"/>
            <w:vAlign w:val="bottom"/>
            <w:vMerge w:val="continue"/>
          </w:tcPr>
          <w:p>
            <w:pPr>
              <w:spacing w:after="0"/>
              <w:rPr>
                <w:sz w:val="19"/>
                <w:szCs w:val="19"/>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(Joint Owners)</w:t>
            </w: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Signature should agree with name printed hereon. If shares are held in the name of more than one person, EACH joint owner should sign. Executors, administrators, trustees, guardians, and attorneys should indicate the capacity in which they sign. Attorneys should submit powers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Coeptis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20" w:type="dxa"/>
            <w:vAlign w:val="bottom"/>
            <w:tcBorders>
              <w:top w:val="single" w:sz="8" w:color="auto"/>
              <w:left w:val="single" w:sz="8" w:color="auto"/>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Fee</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2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Carry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7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Connection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Security</w:t>
            </w:r>
          </w:p>
        </w:tc>
        <w:tc>
          <w:tcPr>
            <w:tcW w:w="1440" w:type="dxa"/>
            <w:vAlign w:val="bottom"/>
            <w:tcBorders>
              <w:right w:val="single" w:sz="8" w:color="auto"/>
            </w:tcBorders>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rPr>
              <w:t>Calculation</w:t>
            </w:r>
          </w:p>
        </w:tc>
        <w:tc>
          <w:tcPr>
            <w:tcW w:w="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2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Amount of</w:t>
            </w:r>
          </w:p>
        </w:tc>
        <w:tc>
          <w:tcPr>
            <w:tcW w:w="700" w:type="dxa"/>
            <w:vAlign w:val="bottom"/>
            <w:tcBorders>
              <w:right w:val="single" w:sz="8" w:color="auto"/>
            </w:tcBorders>
            <w:vMerge w:val="continue"/>
          </w:tcPr>
          <w:p>
            <w:pPr>
              <w:spacing w:after="0"/>
              <w:rPr>
                <w:sz w:val="16"/>
                <w:szCs w:val="16"/>
                <w:color w:val="auto"/>
              </w:rPr>
            </w:pPr>
          </w:p>
        </w:tc>
        <w:tc>
          <w:tcPr>
            <w:tcW w:w="700" w:type="dxa"/>
            <w:vAlign w:val="bottom"/>
            <w:tcBorders>
              <w:right w:val="single" w:sz="8" w:color="auto"/>
            </w:tcBorders>
            <w:vMerge w:val="continue"/>
          </w:tcPr>
          <w:p>
            <w:pPr>
              <w:spacing w:after="0"/>
              <w:rPr>
                <w:sz w:val="16"/>
                <w:szCs w:val="16"/>
                <w:color w:val="auto"/>
              </w:rPr>
            </w:pPr>
          </w:p>
        </w:tc>
        <w:tc>
          <w:tcPr>
            <w:tcW w:w="7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Forward</w:t>
            </w:r>
          </w:p>
        </w:tc>
        <w:tc>
          <w:tcPr>
            <w:tcW w:w="9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Carry</w:t>
            </w:r>
          </w:p>
        </w:tc>
        <w:tc>
          <w:tcPr>
            <w:tcW w:w="20" w:type="dxa"/>
            <w:vAlign w:val="bottom"/>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20" w:type="dxa"/>
            <w:vAlign w:val="bottom"/>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Rate (3)</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Unsold</w:t>
            </w:r>
          </w:p>
        </w:tc>
        <w:tc>
          <w:tcPr>
            <w:tcW w:w="0" w:type="dxa"/>
            <w:vAlign w:val="bottom"/>
          </w:tcPr>
          <w:p>
            <w:pPr>
              <w:spacing w:after="0"/>
              <w:rPr>
                <w:sz w:val="1"/>
                <w:szCs w:val="1"/>
                <w:color w:val="auto"/>
              </w:rPr>
            </w:pPr>
          </w:p>
        </w:tc>
      </w:tr>
      <w:tr>
        <w:trPr>
          <w:trHeight w:val="140"/>
        </w:trPr>
        <w:tc>
          <w:tcPr>
            <w:tcW w:w="82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2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0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rPr>
              <w:t>Price (1)(2)</w:t>
            </w:r>
          </w:p>
        </w:tc>
        <w:tc>
          <w:tcPr>
            <w:tcW w:w="8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rPr>
              <w:t>Type</w:t>
            </w:r>
          </w:p>
        </w:tc>
        <w:tc>
          <w:tcPr>
            <w:tcW w:w="7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rPr>
              <w:t>Number</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9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 be</w:t>
            </w:r>
          </w:p>
        </w:tc>
        <w:tc>
          <w:tcPr>
            <w:tcW w:w="0" w:type="dxa"/>
            <w:vAlign w:val="bottom"/>
          </w:tcPr>
          <w:p>
            <w:pPr>
              <w:spacing w:after="0"/>
              <w:rPr>
                <w:sz w:val="1"/>
                <w:szCs w:val="1"/>
                <w:color w:val="auto"/>
              </w:rPr>
            </w:pPr>
          </w:p>
        </w:tc>
      </w:tr>
      <w:tr>
        <w:trPr>
          <w:trHeight w:val="86"/>
        </w:trPr>
        <w:tc>
          <w:tcPr>
            <w:tcW w:w="820" w:type="dxa"/>
            <w:vAlign w:val="bottom"/>
            <w:tcBorders>
              <w:left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Carried</w:t>
            </w:r>
          </w:p>
        </w:tc>
        <w:tc>
          <w:tcPr>
            <w:tcW w:w="0" w:type="dxa"/>
            <w:vAlign w:val="bottom"/>
          </w:tcPr>
          <w:p>
            <w:pPr>
              <w:spacing w:after="0"/>
              <w:rPr>
                <w:sz w:val="1"/>
                <w:szCs w:val="1"/>
                <w:color w:val="auto"/>
              </w:rPr>
            </w:pPr>
          </w:p>
        </w:tc>
      </w:tr>
      <w:tr>
        <w:trPr>
          <w:trHeight w:val="238"/>
        </w:trPr>
        <w:tc>
          <w:tcPr>
            <w:tcW w:w="8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88"/>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Fees to Be</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Fee Calculation</w:t>
            </w:r>
          </w:p>
        </w:tc>
        <w:tc>
          <w:tcPr>
            <w:tcW w:w="20" w:type="dxa"/>
            <w:vAlign w:val="bottom"/>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17,123,287.7</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10.22 per</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$175,000,000</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0.0000927</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$16,222.50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0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20" w:type="dxa"/>
            <w:vAlign w:val="bottom"/>
            <w:tcBorders>
              <w:left w:val="single" w:sz="8" w:color="auto"/>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Fees</w:t>
            </w:r>
          </w:p>
        </w:tc>
        <w:tc>
          <w:tcPr>
            <w:tcW w:w="6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6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Carry Forward Securities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Carry</w:t>
            </w:r>
          </w:p>
        </w:tc>
        <w:tc>
          <w:tcPr>
            <w:tcW w:w="6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6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9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$175,000,000</w:t>
            </w:r>
          </w:p>
        </w:tc>
        <w:tc>
          <w:tcPr>
            <w:tcW w:w="8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$16,222.50</w:t>
            </w: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gridSpan w:val="4"/>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8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9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9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$16,222.50</w:t>
            </w: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80" w:right="180" w:hanging="648"/>
        <w:spacing w:after="0" w:line="255" w:lineRule="auto"/>
        <w:tabs>
          <w:tab w:leader="none" w:pos="9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0-11 of the Securities Exchange Act of 1934, as amended (the “Exchange Act”) the maximum number of securities of Coeptis Therapeutics, Inc. (the “Company”) to which this transaction applies is estimated, as of September 16, 2022, to be 51,207,163, which includes 43,207,163 shares of Company common stock and 8,000,000 unissued shares that underlie 8,000 issued shares of Series B Convertible Preferred Stock convertible within 60 days of the date of this proxy statement, of which it is estimated that there would be 22,239,702 shares of the Company Common Stock issued and outstanding immediately following the consummation of the Business Combination in the “no redemption” scenario, and 19,641,677 shares of the Company Common Stock issued and outstanding immediately following the consummation of the Business Combination in the “maximum redemption” scenario.</w:t>
      </w:r>
    </w:p>
    <w:p>
      <w:pPr>
        <w:spacing w:after="0" w:line="188"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Exchange Act Rule 0-11, the proposed maximum aggregate value of the transaction estimated solely for the purposes of calculating the filing fee was calculated, as of September 16, 2022, based on the value of the securities and other property to be transferred to the Company security holders at the Closing of the Business Combination.</w:t>
      </w:r>
    </w:p>
    <w:p>
      <w:pPr>
        <w:spacing w:after="0" w:line="175" w:lineRule="exact"/>
        <w:rPr>
          <w:rFonts w:ascii="Times New Roman" w:cs="Times New Roman" w:eastAsia="Times New Roman" w:hAnsi="Times New Roman"/>
          <w:sz w:val="18"/>
          <w:szCs w:val="18"/>
          <w:color w:val="auto"/>
        </w:rPr>
      </w:pPr>
    </w:p>
    <w:p>
      <w:pPr>
        <w:ind w:left="980" w:right="680" w:hanging="648"/>
        <w:spacing w:after="0" w:line="282" w:lineRule="auto"/>
        <w:tabs>
          <w:tab w:leader="none" w:pos="9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14(g) of the Exchange Act and Exchange Act Rule 0-11, the filing fee was determined by multiplying the proposed maximum aggregate value of the transaction in note (2) above by 0.0000927.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2 – Fee Offset Claims and Sources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820" w:type="dxa"/>
            <w:vAlign w:val="bottom"/>
            <w:tcBorders>
              <w:top w:val="single" w:sz="8" w:color="auto"/>
              <w:left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Registrant or</w:t>
            </w:r>
          </w:p>
        </w:tc>
        <w:tc>
          <w:tcPr>
            <w:tcW w:w="11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Form or</w:t>
            </w:r>
          </w:p>
        </w:tc>
        <w:tc>
          <w:tcPr>
            <w:tcW w:w="11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1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Initial Filing</w:t>
            </w:r>
          </w:p>
        </w:tc>
        <w:tc>
          <w:tcPr>
            <w:tcW w:w="11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 Offset</w:t>
            </w:r>
          </w:p>
        </w:tc>
        <w:tc>
          <w:tcPr>
            <w:tcW w:w="3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 Paid with Offset Sources</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Filer Name</w:t>
            </w:r>
          </w:p>
        </w:tc>
        <w:tc>
          <w:tcPr>
            <w:tcW w:w="1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Filing Fee</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3700" w:type="dxa"/>
            <w:vAlign w:val="bottom"/>
            <w:tcBorders>
              <w:right w:val="single" w:sz="8" w:color="auto"/>
            </w:tcBorders>
          </w:tcPr>
          <w:p>
            <w:pPr>
              <w:spacing w:after="0"/>
              <w:rPr>
                <w:sz w:val="18"/>
                <w:szCs w:val="18"/>
                <w:color w:val="auto"/>
              </w:rPr>
            </w:pPr>
          </w:p>
        </w:tc>
      </w:tr>
      <w:tr>
        <w:trPr>
          <w:trHeight w:val="238"/>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Type</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Fee Offset Claims</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Fee Offset Sources</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B5E776"/>
    <w:multiLevelType w:val="hybridMultilevel"/>
    <w:lvl w:ilvl="0">
      <w:lvlJc w:val="left"/>
      <w:lvlText w:val="☐"/>
      <w:numFmt w:val="bullet"/>
      <w:start w:val="1"/>
    </w:lvl>
  </w:abstractNum>
  <w:abstractNum w:abstractNumId="1">
    <w:nsid w:val="75486E47"/>
    <w:multiLevelType w:val="hybridMultilevel"/>
    <w:lvl w:ilvl="0">
      <w:lvlJc w:val="left"/>
      <w:lvlText w:val="☒"/>
      <w:numFmt w:val="bullet"/>
      <w:start w:val="1"/>
    </w:lvl>
  </w:abstractNum>
  <w:abstractNum w:abstractNumId="2">
    <w:nsid w:val="6E534CDE"/>
    <w:multiLevelType w:val="hybridMultilevel"/>
    <w:lvl w:ilvl="0">
      <w:lvlJc w:val="left"/>
      <w:lvlText w:val="☐"/>
      <w:numFmt w:val="bullet"/>
      <w:start w:val="1"/>
    </w:lvl>
  </w:abstractNum>
  <w:abstractNum w:abstractNumId="3">
    <w:nsid w:val="1A0DDE32"/>
    <w:multiLevelType w:val="hybridMultilevel"/>
    <w:lvl w:ilvl="0">
      <w:lvlJc w:val="left"/>
      <w:lvlText w:val="☐"/>
      <w:numFmt w:val="bullet"/>
      <w:start w:val="1"/>
    </w:lvl>
  </w:abstractNum>
  <w:abstractNum w:abstractNumId="4">
    <w:nsid w:val="65968C1C"/>
    <w:multiLevelType w:val="hybridMultilevel"/>
    <w:lvl w:ilvl="0">
      <w:lvlJc w:val="left"/>
      <w:lvlText w:val="☒"/>
      <w:numFmt w:val="bullet"/>
      <w:start w:val="1"/>
    </w:lvl>
  </w:abstractNum>
  <w:abstractNum w:abstractNumId="5">
    <w:nsid w:val="46263DEC"/>
    <w:multiLevelType w:val="hybridMultilevel"/>
    <w:lvl w:ilvl="0">
      <w:lvlJc w:val="left"/>
      <w:lvlText w:val="$"/>
      <w:numFmt w:val="bullet"/>
      <w:start w:val="1"/>
    </w:lvl>
  </w:abstractNum>
  <w:abstractNum w:abstractNumId="6">
    <w:nsid w:val="260D8C4A"/>
    <w:multiLevelType w:val="hybridMultilevel"/>
    <w:lvl w:ilvl="0">
      <w:lvlJc w:val="left"/>
      <w:lvlText w:val="(%1)"/>
      <w:numFmt w:val="decimal"/>
      <w:start w:val="1"/>
    </w:lvl>
  </w:abstractNum>
  <w:abstractNum w:abstractNumId="7">
    <w:nsid w:val="73D4D3C4"/>
    <w:multiLevelType w:val="hybridMultilevel"/>
    <w:lvl w:ilvl="0">
      <w:lvlJc w:val="left"/>
      <w:lvlText w:val="%1."/>
      <w:numFmt w:val="decimal"/>
      <w:start w:val="1"/>
    </w:lvl>
  </w:abstractNum>
  <w:abstractNum w:abstractNumId="8">
    <w:nsid w:val="746F2E30"/>
    <w:multiLevelType w:val="hybridMultilevel"/>
    <w:lvl w:ilvl="0">
      <w:lvlJc w:val="left"/>
      <w:lvlText w:val="·"/>
      <w:numFmt w:val="bullet"/>
      <w:start w:val="1"/>
    </w:lvl>
  </w:abstractNum>
  <w:abstractNum w:abstractNumId="9">
    <w:nsid w:val="6FDE8AF6"/>
    <w:multiLevelType w:val="hybridMultilevel"/>
    <w:lvl w:ilvl="0">
      <w:lvlJc w:val="left"/>
      <w:lvlText w:val="·"/>
      <w:numFmt w:val="bullet"/>
      <w:start w:val="1"/>
    </w:lvl>
  </w:abstractNum>
  <w:abstractNum w:abstractNumId="10">
    <w:nsid w:val="3FC32E20"/>
    <w:multiLevelType w:val="hybridMultilevel"/>
    <w:lvl w:ilvl="0">
      <w:lvlJc w:val="left"/>
      <w:lvlText w:val="·"/>
      <w:numFmt w:val="bullet"/>
      <w:start w:val="1"/>
    </w:lvl>
  </w:abstractNum>
  <w:abstractNum w:abstractNumId="11">
    <w:nsid w:val="49C0E823"/>
    <w:multiLevelType w:val="hybridMultilevel"/>
    <w:lvl w:ilvl="0">
      <w:lvlJc w:val="left"/>
      <w:lvlText w:val="(%1)"/>
      <w:numFmt w:val="lowerRoman"/>
      <w:start w:val="2"/>
    </w:lvl>
  </w:abstractNum>
  <w:abstractNum w:abstractNumId="12">
    <w:nsid w:val="14D53685"/>
    <w:multiLevelType w:val="hybridMultilevel"/>
    <w:lvl w:ilvl="0">
      <w:lvlJc w:val="left"/>
      <w:lvlText w:val="·"/>
      <w:numFmt w:val="bullet"/>
      <w:start w:val="1"/>
    </w:lvl>
  </w:abstractNum>
  <w:abstractNum w:abstractNumId="13">
    <w:nsid w:val="230F856C"/>
    <w:multiLevelType w:val="hybridMultilevel"/>
    <w:lvl w:ilvl="0">
      <w:lvlJc w:val="left"/>
      <w:lvlText w:val="·"/>
      <w:numFmt w:val="bullet"/>
      <w:start w:val="1"/>
    </w:lvl>
  </w:abstractNum>
  <w:abstractNum w:abstractNumId="14">
    <w:nsid w:val="6EAA85FB"/>
    <w:multiLevelType w:val="hybridMultilevel"/>
    <w:lvl w:ilvl="0">
      <w:lvlJc w:val="left"/>
      <w:lvlText w:val="%1."/>
      <w:numFmt w:val="upperLetter"/>
      <w:start w:val="17"/>
    </w:lvl>
  </w:abstractNum>
  <w:abstractNum w:abstractNumId="15">
    <w:nsid w:val="3F06ECB2"/>
    <w:multiLevelType w:val="hybridMultilevel"/>
    <w:lvl w:ilvl="0">
      <w:lvlJc w:val="left"/>
      <w:lvlText w:val="%1."/>
      <w:numFmt w:val="upperLetter"/>
      <w:start w:val="1"/>
    </w:lvl>
  </w:abstractNum>
  <w:abstractNum w:abstractNumId="16">
    <w:nsid w:val="3B594807"/>
    <w:multiLevelType w:val="hybridMultilevel"/>
    <w:lvl w:ilvl="0">
      <w:lvlJc w:val="left"/>
      <w:lvlText w:val="%1."/>
      <w:numFmt w:val="upperLetter"/>
      <w:start w:val="1"/>
    </w:lvl>
    <w:lvl w:ilvl="1">
      <w:lvlJc w:val="left"/>
      <w:lvlText w:val="·"/>
      <w:numFmt w:val="bullet"/>
      <w:start w:val="1"/>
    </w:lvl>
  </w:abstractNum>
  <w:abstractNum w:abstractNumId="17">
    <w:nsid w:val="6CAA2304"/>
    <w:multiLevelType w:val="hybridMultilevel"/>
    <w:lvl w:ilvl="0">
      <w:lvlJc w:val="left"/>
      <w:lvlText w:val="%1."/>
      <w:numFmt w:val="upperLetter"/>
      <w:start w:val="1"/>
    </w:lvl>
  </w:abstractNum>
  <w:abstractNum w:abstractNumId="18">
    <w:nsid w:val="3F7C2FF4"/>
    <w:multiLevelType w:val="hybridMultilevel"/>
    <w:lvl w:ilvl="0">
      <w:lvlJc w:val="left"/>
      <w:lvlText w:val="%1."/>
      <w:numFmt w:val="upperLetter"/>
      <w:start w:val="17"/>
    </w:lvl>
  </w:abstractNum>
  <w:abstractNum w:abstractNumId="19">
    <w:nsid w:val="25413BEC"/>
    <w:multiLevelType w:val="hybridMultilevel"/>
    <w:lvl w:ilvl="0">
      <w:lvlJc w:val="left"/>
      <w:lvlText w:val="%1."/>
      <w:numFmt w:val="upperLetter"/>
      <w:start w:val="1"/>
    </w:lvl>
  </w:abstractNum>
  <w:abstractNum w:abstractNumId="20">
    <w:nsid w:val="17180B0B"/>
    <w:multiLevelType w:val="hybridMultilevel"/>
    <w:lvl w:ilvl="0">
      <w:lvlJc w:val="left"/>
      <w:lvlText w:val="%1."/>
      <w:numFmt w:val="upperLetter"/>
      <w:start w:val="17"/>
    </w:lvl>
  </w:abstractNum>
  <w:abstractNum w:abstractNumId="21">
    <w:nsid w:val="579328B9"/>
    <w:multiLevelType w:val="hybridMultilevel"/>
    <w:lvl w:ilvl="0">
      <w:lvlJc w:val="left"/>
      <w:lvlText w:val="%1."/>
      <w:numFmt w:val="upperLetter"/>
      <w:start w:val="1"/>
    </w:lvl>
  </w:abstractNum>
  <w:abstractNum w:abstractNumId="22">
    <w:nsid w:val="5D205E20"/>
    <w:multiLevelType w:val="hybridMultilevel"/>
    <w:lvl w:ilvl="0">
      <w:lvlJc w:val="left"/>
      <w:lvlText w:val="%1."/>
      <w:numFmt w:val="upperLetter"/>
      <w:start w:val="17"/>
    </w:lvl>
  </w:abstractNum>
  <w:abstractNum w:abstractNumId="23">
    <w:nsid w:val="11CCA8BA"/>
    <w:multiLevelType w:val="hybridMultilevel"/>
    <w:lvl w:ilvl="0">
      <w:lvlJc w:val="left"/>
      <w:lvlText w:val="%1."/>
      <w:numFmt w:val="upperLetter"/>
      <w:start w:val="1"/>
    </w:lvl>
  </w:abstractNum>
  <w:abstractNum w:abstractNumId="24">
    <w:nsid w:val="4D32AB86"/>
    <w:multiLevelType w:val="hybridMultilevel"/>
    <w:lvl w:ilvl="0">
      <w:lvlJc w:val="left"/>
      <w:lvlText w:val="%1."/>
      <w:numFmt w:val="upperLetter"/>
      <w:start w:val="17"/>
    </w:lvl>
  </w:abstractNum>
  <w:abstractNum w:abstractNumId="25">
    <w:nsid w:val="3F07ACC3"/>
    <w:multiLevelType w:val="hybridMultilevel"/>
    <w:lvl w:ilvl="0">
      <w:lvlJc w:val="left"/>
      <w:lvlText w:val="%1."/>
      <w:numFmt w:val="upperLetter"/>
      <w:start w:val="1"/>
    </w:lvl>
  </w:abstractNum>
  <w:abstractNum w:abstractNumId="26">
    <w:nsid w:val="6B47F63E"/>
    <w:multiLevelType w:val="hybridMultilevel"/>
    <w:lvl w:ilvl="0">
      <w:lvlJc w:val="left"/>
      <w:lvlText w:val="%1."/>
      <w:numFmt w:val="upperLetter"/>
      <w:start w:val="17"/>
    </w:lvl>
  </w:abstractNum>
  <w:abstractNum w:abstractNumId="27">
    <w:nsid w:val="5CB44A05"/>
    <w:multiLevelType w:val="hybridMultilevel"/>
    <w:lvl w:ilvl="0">
      <w:lvlJc w:val="left"/>
      <w:lvlText w:val="%1."/>
      <w:numFmt w:val="upperLetter"/>
      <w:start w:val="1"/>
    </w:lvl>
  </w:abstractNum>
  <w:abstractNum w:abstractNumId="28">
    <w:nsid w:val="16CF80F1"/>
    <w:multiLevelType w:val="hybridMultilevel"/>
    <w:lvl w:ilvl="0">
      <w:lvlJc w:val="left"/>
      <w:lvlText w:val="%1."/>
      <w:numFmt w:val="upperLetter"/>
      <w:start w:val="17"/>
    </w:lvl>
  </w:abstractNum>
  <w:abstractNum w:abstractNumId="29">
    <w:nsid w:val="1C695DEC"/>
    <w:multiLevelType w:val="hybridMultilevel"/>
    <w:lvl w:ilvl="0">
      <w:lvlJc w:val="left"/>
      <w:lvlText w:val="%1."/>
      <w:numFmt w:val="upperLetter"/>
      <w:start w:val="1"/>
    </w:lvl>
  </w:abstractNum>
  <w:abstractNum w:abstractNumId="30">
    <w:nsid w:val="3FCFAED9"/>
    <w:multiLevelType w:val="hybridMultilevel"/>
    <w:lvl w:ilvl="0">
      <w:lvlJc w:val="left"/>
      <w:lvlText w:val="%1."/>
      <w:numFmt w:val="upperLetter"/>
      <w:start w:val="17"/>
    </w:lvl>
  </w:abstractNum>
  <w:abstractNum w:abstractNumId="31">
    <w:nsid w:val="F856867"/>
    <w:multiLevelType w:val="hybridMultilevel"/>
    <w:lvl w:ilvl="0">
      <w:lvlJc w:val="left"/>
      <w:lvlText w:val="%1."/>
      <w:numFmt w:val="upperLetter"/>
      <w:start w:val="1"/>
    </w:lvl>
  </w:abstractNum>
  <w:abstractNum w:abstractNumId="32">
    <w:nsid w:val="11B1CC33"/>
    <w:multiLevelType w:val="hybridMultilevel"/>
    <w:lvl w:ilvl="0">
      <w:lvlJc w:val="left"/>
      <w:lvlText w:val="%1."/>
      <w:numFmt w:val="upperLetter"/>
      <w:start w:val="17"/>
    </w:lvl>
  </w:abstractNum>
  <w:abstractNum w:abstractNumId="33">
    <w:nsid w:val="2E22FBB7"/>
    <w:multiLevelType w:val="hybridMultilevel"/>
    <w:lvl w:ilvl="0">
      <w:lvlJc w:val="left"/>
      <w:lvlText w:val="%1."/>
      <w:numFmt w:val="upperLetter"/>
      <w:start w:val="1"/>
    </w:lvl>
  </w:abstractNum>
  <w:abstractNum w:abstractNumId="34">
    <w:nsid w:val="29934699"/>
    <w:multiLevelType w:val="hybridMultilevel"/>
    <w:lvl w:ilvl="0">
      <w:lvlJc w:val="left"/>
      <w:lvlText w:val="%1."/>
      <w:numFmt w:val="upperLetter"/>
      <w:start w:val="1"/>
    </w:lvl>
  </w:abstractNum>
  <w:abstractNum w:abstractNumId="35">
    <w:nsid w:val="77485850"/>
    <w:multiLevelType w:val="hybridMultilevel"/>
    <w:lvl w:ilvl="0">
      <w:lvlJc w:val="left"/>
      <w:lvlText w:val="%1."/>
      <w:numFmt w:val="upperLetter"/>
      <w:start w:val="17"/>
    </w:lvl>
  </w:abstractNum>
  <w:abstractNum w:abstractNumId="36">
    <w:nsid w:val="744939A3"/>
    <w:multiLevelType w:val="hybridMultilevel"/>
    <w:lvl w:ilvl="0">
      <w:lvlJc w:val="left"/>
      <w:lvlText w:val="%1."/>
      <w:numFmt w:val="upperLetter"/>
      <w:start w:val="1"/>
    </w:lvl>
  </w:abstractNum>
  <w:abstractNum w:abstractNumId="37">
    <w:nsid w:val="4FA0D2E3"/>
    <w:multiLevelType w:val="hybridMultilevel"/>
    <w:lvl w:ilvl="0">
      <w:lvlJc w:val="left"/>
      <w:lvlText w:val="(%1)"/>
      <w:numFmt w:val="decimal"/>
      <w:start w:val="1"/>
    </w:lvl>
  </w:abstractNum>
  <w:abstractNum w:abstractNumId="38">
    <w:nsid w:val="6B1D2C14"/>
    <w:multiLevelType w:val="hybridMultilevel"/>
    <w:lvl w:ilvl="0">
      <w:lvlJc w:val="left"/>
      <w:lvlText w:val="%1."/>
      <w:numFmt w:val="upperLetter"/>
      <w:start w:val="17"/>
    </w:lvl>
  </w:abstractNum>
  <w:abstractNum w:abstractNumId="39">
    <w:nsid w:val="68B867D3"/>
    <w:multiLevelType w:val="hybridMultilevel"/>
    <w:lvl w:ilvl="0">
      <w:lvlJc w:val="left"/>
      <w:lvlText w:val="%1."/>
      <w:numFmt w:val="upperLetter"/>
      <w:start w:val="1"/>
    </w:lvl>
  </w:abstractNum>
  <w:abstractNum w:abstractNumId="40">
    <w:nsid w:val="3F7F5DD9"/>
    <w:multiLevelType w:val="hybridMultilevel"/>
    <w:lvl w:ilvl="0">
      <w:lvlJc w:val="left"/>
      <w:lvlText w:val="%1."/>
      <w:numFmt w:val="upperLetter"/>
      <w:start w:val="17"/>
    </w:lvl>
  </w:abstractNum>
  <w:abstractNum w:abstractNumId="41">
    <w:nsid w:val="2AE05A34"/>
    <w:multiLevelType w:val="hybridMultilevel"/>
    <w:lvl w:ilvl="0">
      <w:lvlJc w:val="left"/>
      <w:lvlText w:val="%1."/>
      <w:numFmt w:val="upperLetter"/>
      <w:start w:val="1"/>
    </w:lvl>
  </w:abstractNum>
  <w:abstractNum w:abstractNumId="42">
    <w:nsid w:val="32794FF7"/>
    <w:multiLevelType w:val="hybridMultilevel"/>
    <w:lvl w:ilvl="0">
      <w:lvlJc w:val="left"/>
      <w:lvlText w:val="%1."/>
      <w:numFmt w:val="upperLetter"/>
      <w:start w:val="17"/>
    </w:lvl>
  </w:abstractNum>
  <w:abstractNum w:abstractNumId="43">
    <w:nsid w:val="5454945E"/>
    <w:multiLevelType w:val="hybridMultilevel"/>
    <w:lvl w:ilvl="0">
      <w:lvlJc w:val="left"/>
      <w:lvlText w:val="%1."/>
      <w:numFmt w:val="upperLetter"/>
      <w:start w:val="1"/>
    </w:lvl>
  </w:abstractNum>
  <w:abstractNum w:abstractNumId="44">
    <w:nsid w:val="4DEFDFA0"/>
    <w:multiLevelType w:val="hybridMultilevel"/>
    <w:lvl w:ilvl="0">
      <w:lvlJc w:val="left"/>
      <w:lvlText w:val="%1."/>
      <w:numFmt w:val="upperLetter"/>
      <w:start w:val="17"/>
    </w:lvl>
  </w:abstractNum>
  <w:abstractNum w:abstractNumId="45">
    <w:nsid w:val="2123D5F2"/>
    <w:multiLevelType w:val="hybridMultilevel"/>
    <w:lvl w:ilvl="0">
      <w:lvlJc w:val="left"/>
      <w:lvlText w:val="%1."/>
      <w:numFmt w:val="upperLetter"/>
      <w:start w:val="1"/>
    </w:lvl>
  </w:abstractNum>
  <w:abstractNum w:abstractNumId="46">
    <w:nsid w:val="135B8110"/>
    <w:multiLevelType w:val="hybridMultilevel"/>
    <w:lvl w:ilvl="0">
      <w:lvlJc w:val="left"/>
      <w:lvlText w:val="%1."/>
      <w:numFmt w:val="upperLetter"/>
      <w:start w:val="17"/>
    </w:lvl>
  </w:abstractNum>
  <w:abstractNum w:abstractNumId="47">
    <w:nsid w:val="94927A8"/>
    <w:multiLevelType w:val="hybridMultilevel"/>
    <w:lvl w:ilvl="0">
      <w:lvlJc w:val="left"/>
      <w:lvlText w:val="%1."/>
      <w:numFmt w:val="upperLetter"/>
      <w:start w:val="1"/>
    </w:lvl>
  </w:abstractNum>
  <w:abstractNum w:abstractNumId="48">
    <w:nsid w:val="DCDF8F6"/>
    <w:multiLevelType w:val="hybridMultilevel"/>
    <w:lvl w:ilvl="0">
      <w:lvlJc w:val="left"/>
      <w:lvlText w:val="%1."/>
      <w:numFmt w:val="upperLetter"/>
      <w:start w:val="17"/>
    </w:lvl>
  </w:abstractNum>
  <w:abstractNum w:abstractNumId="49">
    <w:nsid w:val="52D7B105"/>
    <w:multiLevelType w:val="hybridMultilevel"/>
    <w:lvl w:ilvl="0">
      <w:lvlJc w:val="left"/>
      <w:lvlText w:val="%1."/>
      <w:numFmt w:val="upperLetter"/>
      <w:start w:val="1"/>
    </w:lvl>
  </w:abstractNum>
  <w:abstractNum w:abstractNumId="50">
    <w:nsid w:val="2E8A6394"/>
    <w:multiLevelType w:val="hybridMultilevel"/>
    <w:lvl w:ilvl="0">
      <w:lvlJc w:val="left"/>
      <w:lvlText w:val="%1."/>
      <w:numFmt w:val="upperLetter"/>
      <w:start w:val="17"/>
    </w:lvl>
  </w:abstractNum>
  <w:abstractNum w:abstractNumId="51">
    <w:nsid w:val="24E60401"/>
    <w:multiLevelType w:val="hybridMultilevel"/>
    <w:lvl w:ilvl="0">
      <w:lvlJc w:val="left"/>
      <w:lvlText w:val="%1."/>
      <w:numFmt w:val="upperLetter"/>
      <w:start w:val="1"/>
    </w:lvl>
  </w:abstractNum>
  <w:abstractNum w:abstractNumId="52">
    <w:nsid w:val="2A6AD9BE"/>
    <w:multiLevelType w:val="hybridMultilevel"/>
    <w:lvl w:ilvl="0">
      <w:lvlJc w:val="left"/>
      <w:lvlText w:val="%1."/>
      <w:numFmt w:val="upperLetter"/>
      <w:start w:val="17"/>
    </w:lvl>
  </w:abstractNum>
  <w:abstractNum w:abstractNumId="53">
    <w:nsid w:val="BAAC1B4"/>
    <w:multiLevelType w:val="hybridMultilevel"/>
    <w:lvl w:ilvl="0">
      <w:lvlJc w:val="left"/>
      <w:lvlText w:val="%1."/>
      <w:numFmt w:val="upperLetter"/>
      <w:start w:val="1"/>
    </w:lvl>
  </w:abstractNum>
  <w:abstractNum w:abstractNumId="54">
    <w:nsid w:val="36B2ACBC"/>
    <w:multiLevelType w:val="hybridMultilevel"/>
    <w:lvl w:ilvl="0">
      <w:lvlJc w:val="left"/>
      <w:lvlText w:val="%1."/>
      <w:numFmt w:val="upperLetter"/>
      <w:start w:val="17"/>
    </w:lvl>
  </w:abstractNum>
  <w:abstractNum w:abstractNumId="55">
    <w:nsid w:val="779D8544"/>
    <w:multiLevelType w:val="hybridMultilevel"/>
    <w:lvl w:ilvl="0">
      <w:lvlJc w:val="left"/>
      <w:lvlText w:val="%1."/>
      <w:numFmt w:val="upperLetter"/>
      <w:start w:val="1"/>
    </w:lvl>
  </w:abstractNum>
  <w:abstractNum w:abstractNumId="56">
    <w:nsid w:val="4AB26E78"/>
    <w:multiLevelType w:val="hybridMultilevel"/>
    <w:lvl w:ilvl="0">
      <w:lvlJc w:val="left"/>
      <w:lvlText w:val="%1."/>
      <w:numFmt w:val="upperLetter"/>
      <w:start w:val="17"/>
    </w:lvl>
  </w:abstractNum>
  <w:abstractNum w:abstractNumId="57">
    <w:nsid w:val="21FAA2FA"/>
    <w:multiLevelType w:val="hybridMultilevel"/>
    <w:lvl w:ilvl="0">
      <w:lvlJc w:val="left"/>
      <w:lvlText w:val="%1."/>
      <w:numFmt w:val="upperLetter"/>
      <w:start w:val="1"/>
    </w:lvl>
  </w:abstractNum>
  <w:abstractNum w:abstractNumId="58">
    <w:nsid w:val="5451CF49"/>
    <w:multiLevelType w:val="hybridMultilevel"/>
    <w:lvl w:ilvl="0">
      <w:lvlJc w:val="left"/>
      <w:lvlText w:val="%1."/>
      <w:numFmt w:val="upperLetter"/>
      <w:start w:val="17"/>
    </w:lvl>
    <w:lvl w:ilvl="1">
      <w:lvlJc w:val="left"/>
      <w:lvlText w:val="·"/>
      <w:numFmt w:val="bullet"/>
      <w:start w:val="1"/>
    </w:lvl>
  </w:abstractNum>
  <w:abstractNum w:abstractNumId="59">
    <w:nsid w:val="6181EF69"/>
    <w:multiLevelType w:val="hybridMultilevel"/>
    <w:lvl w:ilvl="0">
      <w:lvlJc w:val="left"/>
      <w:lvlText w:val="%1."/>
      <w:numFmt w:val="upperLetter"/>
      <w:start w:val="1"/>
    </w:lvl>
    <w:lvl w:ilvl="1">
      <w:lvlJc w:val="left"/>
      <w:lvlText w:val="·"/>
      <w:numFmt w:val="bullet"/>
      <w:start w:val="1"/>
    </w:lvl>
  </w:abstractNum>
  <w:abstractNum w:abstractNumId="60">
    <w:nsid w:val="3E6400E6"/>
    <w:multiLevelType w:val="hybridMultilevel"/>
    <w:lvl w:ilvl="0">
      <w:lvlJc w:val="left"/>
      <w:lvlText w:val="%1."/>
      <w:numFmt w:val="upperLetter"/>
      <w:start w:val="17"/>
    </w:lvl>
    <w:lvl w:ilvl="1">
      <w:lvlJc w:val="left"/>
      <w:lvlText w:val="·"/>
      <w:numFmt w:val="bullet"/>
      <w:start w:val="1"/>
    </w:lvl>
  </w:abstractNum>
  <w:abstractNum w:abstractNumId="61">
    <w:nsid w:val="14217E23"/>
    <w:multiLevelType w:val="hybridMultilevel"/>
    <w:lvl w:ilvl="0">
      <w:lvlJc w:val="left"/>
      <w:lvlText w:val="%1."/>
      <w:numFmt w:val="upperLetter"/>
      <w:start w:val="1"/>
    </w:lvl>
    <w:lvl w:ilvl="1">
      <w:lvlJc w:val="left"/>
      <w:lvlText w:val="·"/>
      <w:numFmt w:val="bullet"/>
      <w:start w:val="1"/>
    </w:lvl>
  </w:abstractNum>
  <w:abstractNum w:abstractNumId="62">
    <w:nsid w:val="710757D0"/>
    <w:multiLevelType w:val="hybridMultilevel"/>
    <w:lvl w:ilvl="0">
      <w:lvlJc w:val="left"/>
      <w:lvlText w:val="%1."/>
      <w:numFmt w:val="upperLetter"/>
      <w:start w:val="17"/>
    </w:lvl>
    <w:lvl w:ilvl="1">
      <w:lvlJc w:val="left"/>
      <w:lvlText w:val="·"/>
      <w:numFmt w:val="bullet"/>
      <w:start w:val="1"/>
    </w:lvl>
  </w:abstractNum>
  <w:abstractNum w:abstractNumId="63">
    <w:nsid w:val="5015CD1A"/>
    <w:multiLevelType w:val="hybridMultilevel"/>
    <w:lvl w:ilvl="0">
      <w:lvlJc w:val="left"/>
      <w:lvlText w:val="%1."/>
      <w:numFmt w:val="upperLetter"/>
      <w:start w:val="1"/>
    </w:lvl>
    <w:lvl w:ilvl="1">
      <w:lvlJc w:val="left"/>
      <w:lvlText w:val="·"/>
      <w:numFmt w:val="bullet"/>
      <w:start w:val="1"/>
    </w:lvl>
  </w:abstractNum>
  <w:abstractNum w:abstractNumId="64">
    <w:nsid w:val="424479DA"/>
    <w:multiLevelType w:val="hybridMultilevel"/>
    <w:lvl w:ilvl="0">
      <w:lvlJc w:val="left"/>
      <w:lvlText w:val="%1."/>
      <w:numFmt w:val="upperLetter"/>
      <w:start w:val="17"/>
    </w:lvl>
  </w:abstractNum>
  <w:abstractNum w:abstractNumId="65">
    <w:nsid w:val="1A9A9E69"/>
    <w:multiLevelType w:val="hybridMultilevel"/>
    <w:lvl w:ilvl="0">
      <w:lvlJc w:val="left"/>
      <w:lvlText w:val="%1."/>
      <w:numFmt w:val="upperLetter"/>
      <w:start w:val="1"/>
    </w:lvl>
  </w:abstractNum>
  <w:abstractNum w:abstractNumId="66">
    <w:nsid w:val="475E256A"/>
    <w:multiLevelType w:val="hybridMultilevel"/>
    <w:lvl w:ilvl="0">
      <w:lvlJc w:val="left"/>
      <w:lvlText w:val="%1."/>
      <w:numFmt w:val="upperLetter"/>
      <w:start w:val="17"/>
    </w:lvl>
  </w:abstractNum>
  <w:abstractNum w:abstractNumId="67">
    <w:nsid w:val="368DB37E"/>
    <w:multiLevelType w:val="hybridMultilevel"/>
    <w:lvl w:ilvl="0">
      <w:lvlJc w:val="left"/>
      <w:lvlText w:val="%1."/>
      <w:numFmt w:val="upperLetter"/>
      <w:start w:val="1"/>
    </w:lvl>
  </w:abstractNum>
  <w:abstractNum w:abstractNumId="68">
    <w:nsid w:val="6A3B714C"/>
    <w:multiLevelType w:val="hybridMultilevel"/>
    <w:lvl w:ilvl="0">
      <w:lvlJc w:val="left"/>
      <w:lvlText w:val="%1."/>
      <w:numFmt w:val="upperLetter"/>
      <w:start w:val="17"/>
    </w:lvl>
  </w:abstractNum>
  <w:abstractNum w:abstractNumId="69">
    <w:nsid w:val="327B517E"/>
    <w:multiLevelType w:val="hybridMultilevel"/>
    <w:lvl w:ilvl="0">
      <w:lvlJc w:val="left"/>
      <w:lvlText w:val="%1."/>
      <w:numFmt w:val="upperLetter"/>
      <w:start w:val="1"/>
    </w:lvl>
  </w:abstractNum>
  <w:abstractNum w:abstractNumId="70">
    <w:nsid w:val="1F461B51"/>
    <w:multiLevelType w:val="hybridMultilevel"/>
    <w:lvl w:ilvl="0">
      <w:lvlJc w:val="left"/>
      <w:lvlText w:val="·"/>
      <w:numFmt w:val="bullet"/>
      <w:start w:val="1"/>
    </w:lvl>
  </w:abstractNum>
  <w:abstractNum w:abstractNumId="71">
    <w:nsid w:val="29BACF25"/>
    <w:multiLevelType w:val="hybridMultilevel"/>
    <w:lvl w:ilvl="0">
      <w:lvlJc w:val="left"/>
      <w:lvlText w:val="·"/>
      <w:numFmt w:val="bullet"/>
      <w:start w:val="1"/>
    </w:lvl>
  </w:abstractNum>
  <w:abstractNum w:abstractNumId="72">
    <w:nsid w:val="5D5BABB3"/>
    <w:multiLevelType w:val="hybridMultilevel"/>
    <w:lvl w:ilvl="0">
      <w:lvlJc w:val="left"/>
      <w:lvlText w:val="·"/>
      <w:numFmt w:val="bullet"/>
      <w:start w:val="1"/>
    </w:lvl>
  </w:abstractNum>
  <w:abstractNum w:abstractNumId="73">
    <w:nsid w:val="51BF6B48"/>
    <w:multiLevelType w:val="hybridMultilevel"/>
    <w:lvl w:ilvl="0">
      <w:lvlJc w:val="left"/>
      <w:lvlText w:val="·"/>
      <w:numFmt w:val="bullet"/>
      <w:start w:val="1"/>
    </w:lvl>
  </w:abstractNum>
  <w:abstractNum w:abstractNumId="74">
    <w:nsid w:val="7E0F6384"/>
    <w:multiLevelType w:val="hybridMultilevel"/>
    <w:lvl w:ilvl="0">
      <w:lvlJc w:val="left"/>
      <w:lvlText w:val="%1."/>
      <w:numFmt w:val="decimal"/>
      <w:start w:val="1"/>
    </w:lvl>
  </w:abstractNum>
  <w:abstractNum w:abstractNumId="75">
    <w:nsid w:val="2B4B8B53"/>
    <w:multiLevelType w:val="hybridMultilevel"/>
    <w:lvl w:ilvl="0">
      <w:lvlJc w:val="left"/>
      <w:lvlText w:val="·"/>
      <w:numFmt w:val="bullet"/>
      <w:start w:val="1"/>
    </w:lvl>
  </w:abstractNum>
  <w:abstractNum w:abstractNumId="76">
    <w:nsid w:val="72E3413A"/>
    <w:multiLevelType w:val="hybridMultilevel"/>
    <w:lvl w:ilvl="0">
      <w:lvlJc w:val="left"/>
      <w:lvlText w:val="·"/>
      <w:numFmt w:val="bullet"/>
      <w:start w:val="1"/>
    </w:lvl>
  </w:abstractNum>
  <w:abstractNum w:abstractNumId="77">
    <w:nsid w:val="116AE494"/>
    <w:multiLevelType w:val="hybridMultilevel"/>
    <w:lvl w:ilvl="0">
      <w:lvlJc w:val="left"/>
      <w:lvlText w:val="·"/>
      <w:numFmt w:val="bullet"/>
      <w:start w:val="1"/>
    </w:lvl>
  </w:abstractNum>
  <w:abstractNum w:abstractNumId="78">
    <w:nsid w:val="3494B2FB"/>
    <w:multiLevelType w:val="hybridMultilevel"/>
    <w:lvl w:ilvl="0">
      <w:lvlJc w:val="left"/>
      <w:lvlText w:val="%1."/>
      <w:numFmt w:val="decimal"/>
      <w:start w:val="2"/>
    </w:lvl>
  </w:abstractNum>
  <w:abstractNum w:abstractNumId="79">
    <w:nsid w:val="B13A31"/>
    <w:multiLevelType w:val="hybridMultilevel"/>
    <w:lvl w:ilvl="0">
      <w:lvlJc w:val="left"/>
      <w:lvlText w:val="(%1)"/>
      <w:numFmt w:val="upperLetter"/>
      <w:start w:val="1"/>
    </w:lvl>
  </w:abstractNum>
  <w:abstractNum w:abstractNumId="80">
    <w:nsid w:val="64429599"/>
    <w:multiLevelType w:val="hybridMultilevel"/>
    <w:lvl w:ilvl="0">
      <w:lvlJc w:val="left"/>
      <w:lvlText w:val="(%1)"/>
      <w:numFmt w:val="decimal"/>
      <w:start w:val="1"/>
    </w:lvl>
  </w:abstractNum>
  <w:abstractNum w:abstractNumId="81">
    <w:nsid w:val="631F1690"/>
    <w:multiLevelType w:val="hybridMultilevel"/>
    <w:lvl w:ilvl="0">
      <w:lvlJc w:val="left"/>
      <w:lvlText w:val="%1"/>
      <w:numFmt w:val="decimal"/>
      <w:start w:val="1"/>
    </w:lvl>
    <w:lvl w:ilvl="1">
      <w:lvlJc w:val="left"/>
      <w:lvlText w:val="(%2)"/>
      <w:numFmt w:val="decimal"/>
      <w:start w:val="7"/>
    </w:lvl>
  </w:abstractNum>
  <w:abstractNum w:abstractNumId="82">
    <w:nsid w:val="25973E32"/>
    <w:multiLevelType w:val="hybridMultilevel"/>
    <w:lvl w:ilvl="0">
      <w:lvlJc w:val="left"/>
      <w:lvlText w:val="%1."/>
      <w:numFmt w:val="decimal"/>
      <w:start w:val="3"/>
    </w:lvl>
    <w:lvl w:ilvl="1">
      <w:lvlJc w:val="left"/>
      <w:lvlText w:val="%2"/>
      <w:numFmt w:val="decimal"/>
      <w:start w:val="1"/>
    </w:lvl>
  </w:abstractNum>
  <w:abstractNum w:abstractNumId="83">
    <w:nsid w:val="EAD6F57"/>
    <w:multiLevelType w:val="hybridMultilevel"/>
    <w:lvl w:ilvl="0">
      <w:lvlJc w:val="left"/>
      <w:lvlText w:val="(%1)"/>
      <w:numFmt w:val="upperLetter"/>
      <w:start w:val="1"/>
    </w:lvl>
  </w:abstractNum>
  <w:abstractNum w:abstractNumId="84">
    <w:nsid w:val="6EC9D844"/>
    <w:multiLevelType w:val="hybridMultilevel"/>
    <w:lvl w:ilvl="0">
      <w:lvlJc w:val="left"/>
      <w:lvlText w:val="%1"/>
      <w:numFmt w:val="decimal"/>
      <w:start w:val="1"/>
    </w:lvl>
    <w:lvl w:ilvl="1">
      <w:lvlJc w:val="left"/>
      <w:lvlText w:val="(%2)"/>
      <w:numFmt w:val="decimal"/>
      <w:start w:val="1"/>
    </w:lvl>
  </w:abstractNum>
  <w:abstractNum w:abstractNumId="85">
    <w:nsid w:val="5C49EAEE"/>
    <w:multiLevelType w:val="hybridMultilevel"/>
    <w:lvl w:ilvl="0">
      <w:lvlJc w:val="left"/>
      <w:lvlText w:val="%1."/>
      <w:numFmt w:val="decimal"/>
      <w:start w:val="4"/>
    </w:lvl>
    <w:lvl w:ilvl="1">
      <w:lvlJc w:val="left"/>
      <w:lvlText w:val="%2"/>
      <w:numFmt w:val="decimal"/>
      <w:start w:val="1"/>
    </w:lvl>
  </w:abstractNum>
  <w:abstractNum w:abstractNumId="86">
    <w:nsid w:val="64AF49B"/>
    <w:multiLevelType w:val="hybridMultilevel"/>
    <w:lvl w:ilvl="0">
      <w:lvlJc w:val="left"/>
      <w:lvlText w:val="(%1)"/>
      <w:numFmt w:val="decimal"/>
      <w:start w:val="1"/>
    </w:lvl>
  </w:abstractNum>
  <w:abstractNum w:abstractNumId="87">
    <w:nsid w:val="397C46BC"/>
    <w:multiLevelType w:val="hybridMultilevel"/>
    <w:lvl w:ilvl="0">
      <w:lvlJc w:val="left"/>
      <w:lvlText w:val="(%1)"/>
      <w:numFmt w:val="lowerLetter"/>
      <w:start w:val="1"/>
    </w:lvl>
  </w:abstractNum>
  <w:abstractNum w:abstractNumId="88">
    <w:nsid w:val="7E448DE9"/>
    <w:multiLevelType w:val="hybridMultilevel"/>
    <w:lvl w:ilvl="0">
      <w:lvlJc w:val="left"/>
      <w:lvlText w:val="·"/>
      <w:numFmt w:val="bullet"/>
      <w:start w:val="1"/>
    </w:lvl>
  </w:abstractNum>
  <w:abstractNum w:abstractNumId="89">
    <w:nsid w:val="5A9CC3E5"/>
    <w:multiLevelType w:val="hybridMultilevel"/>
    <w:lvl w:ilvl="0">
      <w:lvlJc w:val="left"/>
      <w:lvlText w:val="·"/>
      <w:numFmt w:val="bullet"/>
      <w:start w:val="1"/>
    </w:lvl>
  </w:abstractNum>
  <w:abstractNum w:abstractNumId="90">
    <w:nsid w:val="1AFE3625"/>
    <w:multiLevelType w:val="hybridMultilevel"/>
    <w:lvl w:ilvl="0">
      <w:lvlJc w:val="left"/>
      <w:lvlText w:val="·"/>
      <w:numFmt w:val="bullet"/>
      <w:start w:val="1"/>
    </w:lvl>
  </w:abstractNum>
  <w:abstractNum w:abstractNumId="91">
    <w:nsid w:val="3CA88ECF"/>
    <w:multiLevelType w:val="hybridMultilevel"/>
    <w:lvl w:ilvl="0">
      <w:lvlJc w:val="left"/>
      <w:lvlText w:val="·"/>
      <w:numFmt w:val="bullet"/>
      <w:start w:val="1"/>
    </w:lvl>
  </w:abstractNum>
  <w:abstractNum w:abstractNumId="92">
    <w:nsid w:val="6EBE4208"/>
    <w:multiLevelType w:val="hybridMultilevel"/>
    <w:lvl w:ilvl="0">
      <w:lvlJc w:val="left"/>
      <w:lvlText w:val="·"/>
      <w:numFmt w:val="bullet"/>
      <w:start w:val="1"/>
    </w:lvl>
  </w:abstractNum>
  <w:abstractNum w:abstractNumId="93">
    <w:nsid w:val="C058DF5"/>
    <w:multiLevelType w:val="hybridMultilevel"/>
    <w:lvl w:ilvl="0">
      <w:lvlJc w:val="left"/>
      <w:lvlText w:val="·"/>
      <w:numFmt w:val="bullet"/>
      <w:start w:val="1"/>
    </w:lvl>
  </w:abstractNum>
  <w:abstractNum w:abstractNumId="94">
    <w:nsid w:val="CBE5BE9"/>
    <w:multiLevelType w:val="hybridMultilevel"/>
    <w:lvl w:ilvl="0">
      <w:lvlJc w:val="left"/>
      <w:lvlText w:val="(%1)"/>
      <w:numFmt w:val="lowerRoman"/>
      <w:start w:val="3"/>
    </w:lvl>
  </w:abstractNum>
  <w:abstractNum w:abstractNumId="95">
    <w:nsid w:val="3102BBE2"/>
    <w:multiLevelType w:val="hybridMultilevel"/>
    <w:lvl w:ilvl="0">
      <w:lvlJc w:val="left"/>
      <w:lvlText w:val="(%1)"/>
      <w:numFmt w:val="lowerRoman"/>
      <w:start w:val="2"/>
    </w:lvl>
  </w:abstractNum>
  <w:abstractNum w:abstractNumId="96">
    <w:nsid w:val="26A02C5E"/>
    <w:multiLevelType w:val="hybridMultilevel"/>
    <w:lvl w:ilvl="0">
      <w:lvlJc w:val="left"/>
      <w:lvlText w:val="(%1)"/>
      <w:numFmt w:val="upperLetter"/>
      <w:start w:val="2"/>
    </w:lvl>
  </w:abstractNum>
  <w:abstractNum w:abstractNumId="97">
    <w:nsid w:val="541C8153"/>
    <w:multiLevelType w:val="hybridMultilevel"/>
    <w:lvl w:ilvl="0">
      <w:lvlJc w:val="left"/>
      <w:lvlText w:val="·"/>
      <w:numFmt w:val="bullet"/>
      <w:start w:val="1"/>
    </w:lvl>
  </w:abstractNum>
  <w:abstractNum w:abstractNumId="98">
    <w:nsid w:val="67906F60"/>
    <w:multiLevelType w:val="hybridMultilevel"/>
    <w:lvl w:ilvl="0">
      <w:lvlJc w:val="left"/>
      <w:lvlText w:val="·"/>
      <w:numFmt w:val="bullet"/>
      <w:start w:val="1"/>
    </w:lvl>
  </w:abstractNum>
  <w:abstractNum w:abstractNumId="99">
    <w:nsid w:val="10DB9DAA"/>
    <w:multiLevelType w:val="hybridMultilevel"/>
    <w:lvl w:ilvl="0">
      <w:lvlJc w:val="left"/>
      <w:lvlText w:val="·"/>
      <w:numFmt w:val="bullet"/>
      <w:start w:val="1"/>
    </w:lvl>
  </w:abstractNum>
  <w:abstractNum w:abstractNumId="100">
    <w:nsid w:val="697D2D2"/>
    <w:multiLevelType w:val="hybridMultilevel"/>
    <w:lvl w:ilvl="0">
      <w:lvlJc w:val="left"/>
      <w:lvlText w:val="·"/>
      <w:numFmt w:val="bullet"/>
      <w:start w:val="1"/>
    </w:lvl>
  </w:abstractNum>
  <w:abstractNum w:abstractNumId="101">
    <w:nsid w:val="6D68AB2"/>
    <w:multiLevelType w:val="hybridMultilevel"/>
    <w:lvl w:ilvl="0">
      <w:lvlJc w:val="left"/>
      <w:lvlText w:val="·"/>
      <w:numFmt w:val="bullet"/>
      <w:start w:val="1"/>
    </w:lvl>
  </w:abstractNum>
  <w:abstractNum w:abstractNumId="102">
    <w:nsid w:val="3A966CD0"/>
    <w:multiLevelType w:val="hybridMultilevel"/>
    <w:lvl w:ilvl="0">
      <w:lvlJc w:val="left"/>
      <w:lvlText w:val="·"/>
      <w:numFmt w:val="bullet"/>
      <w:start w:val="1"/>
    </w:lvl>
  </w:abstractNum>
  <w:abstractNum w:abstractNumId="103">
    <w:nsid w:val="63F37E85"/>
    <w:multiLevelType w:val="hybridMultilevel"/>
    <w:lvl w:ilvl="0">
      <w:lvlJc w:val="left"/>
      <w:lvlText w:val="·"/>
      <w:numFmt w:val="bullet"/>
      <w:start w:val="1"/>
    </w:lvl>
  </w:abstractNum>
  <w:abstractNum w:abstractNumId="104">
    <w:nsid w:val="5895F5FA"/>
    <w:multiLevelType w:val="hybridMultilevel"/>
    <w:lvl w:ilvl="0">
      <w:lvlJc w:val="left"/>
      <w:lvlText w:val="%1)"/>
      <w:numFmt w:val="decimal"/>
      <w:start w:val="2"/>
    </w:lvl>
  </w:abstractNum>
  <w:abstractNum w:abstractNumId="105">
    <w:nsid w:val="38A5D054"/>
    <w:multiLevelType w:val="hybridMultilevel"/>
    <w:lvl w:ilvl="0">
      <w:lvlJc w:val="left"/>
      <w:lvlText w:val="%1)"/>
      <w:numFmt w:val="decimal"/>
      <w:start w:val="2"/>
    </w:lvl>
  </w:abstractNum>
  <w:abstractNum w:abstractNumId="106">
    <w:nsid w:val="F3F09D8"/>
    <w:multiLevelType w:val="hybridMultilevel"/>
    <w:lvl w:ilvl="0">
      <w:lvlJc w:val="left"/>
      <w:lvlText w:val="(%1)"/>
      <w:numFmt w:val="decimal"/>
      <w:start w:val="1"/>
    </w:lvl>
  </w:abstractNum>
  <w:abstractNum w:abstractNumId="107">
    <w:nsid w:val="4B793735"/>
    <w:multiLevelType w:val="hybridMultilevel"/>
    <w:lvl w:ilvl="0">
      <w:lvlJc w:val="left"/>
      <w:lvlText w:val="·"/>
      <w:numFmt w:val="bullet"/>
      <w:start w:val="1"/>
    </w:lvl>
  </w:abstractNum>
  <w:abstractNum w:abstractNumId="108">
    <w:nsid w:val="4A10B4E8"/>
    <w:multiLevelType w:val="hybridMultilevel"/>
    <w:lvl w:ilvl="0">
      <w:lvlJc w:val="left"/>
      <w:lvlText w:val="·"/>
      <w:numFmt w:val="bullet"/>
      <w:start w:val="1"/>
    </w:lvl>
  </w:abstractNum>
  <w:abstractNum w:abstractNumId="109">
    <w:nsid w:val="43D3BCD4"/>
    <w:multiLevelType w:val="hybridMultilevel"/>
    <w:lvl w:ilvl="0">
      <w:lvlJc w:val="left"/>
      <w:lvlText w:val="(%1)"/>
      <w:numFmt w:val="lowerRoman"/>
      <w:start w:val="2"/>
    </w:lvl>
  </w:abstractNum>
  <w:abstractNum w:abstractNumId="110">
    <w:nsid w:val="4C2A7166"/>
    <w:multiLevelType w:val="hybridMultilevel"/>
    <w:lvl w:ilvl="0">
      <w:lvlJc w:val="left"/>
      <w:lvlText w:val="·"/>
      <w:numFmt w:val="bullet"/>
      <w:start w:val="1"/>
    </w:lvl>
  </w:abstractNum>
  <w:abstractNum w:abstractNumId="111">
    <w:nsid w:val="2E534A82"/>
    <w:multiLevelType w:val="hybridMultilevel"/>
    <w:lvl w:ilvl="0">
      <w:lvlJc w:val="left"/>
      <w:lvlText w:val="·"/>
      <w:numFmt w:val="bullet"/>
      <w:start w:val="1"/>
    </w:lvl>
  </w:abstractNum>
  <w:abstractNum w:abstractNumId="112">
    <w:nsid w:val="26F2D364"/>
    <w:multiLevelType w:val="hybridMultilevel"/>
    <w:lvl w:ilvl="0">
      <w:lvlJc w:val="left"/>
      <w:lvlText w:val="·"/>
      <w:numFmt w:val="bullet"/>
      <w:start w:val="1"/>
    </w:lvl>
  </w:abstractNum>
  <w:abstractNum w:abstractNumId="113">
    <w:nsid w:val="71C1AF98"/>
    <w:multiLevelType w:val="hybridMultilevel"/>
    <w:lvl w:ilvl="0">
      <w:lvlJc w:val="left"/>
      <w:lvlText w:val="(%1)"/>
      <w:numFmt w:val="lowerLetter"/>
      <w:start w:val="2"/>
    </w:lvl>
  </w:abstractNum>
  <w:abstractNum w:abstractNumId="114">
    <w:nsid w:val="3D00B9D9"/>
    <w:multiLevelType w:val="hybridMultilevel"/>
    <w:lvl w:ilvl="0">
      <w:lvlJc w:val="left"/>
      <w:lvlText w:val="(%1)"/>
      <w:numFmt w:val="upperLetter"/>
      <w:start w:val="3"/>
    </w:lvl>
  </w:abstractNum>
  <w:abstractNum w:abstractNumId="115">
    <w:nsid w:val="15BCABA8"/>
    <w:multiLevelType w:val="hybridMultilevel"/>
    <w:lvl w:ilvl="0">
      <w:lvlJc w:val="left"/>
      <w:lvlText w:val="·"/>
      <w:numFmt w:val="bullet"/>
      <w:start w:val="1"/>
    </w:lvl>
  </w:abstractNum>
  <w:abstractNum w:abstractNumId="116">
    <w:nsid w:val="4E0B9A87"/>
    <w:multiLevelType w:val="hybridMultilevel"/>
    <w:lvl w:ilvl="0">
      <w:lvlJc w:val="left"/>
      <w:lvlText w:val="·"/>
      <w:numFmt w:val="bullet"/>
      <w:start w:val="1"/>
    </w:lvl>
  </w:abstractNum>
  <w:abstractNum w:abstractNumId="117">
    <w:nsid w:val="434BAE75"/>
    <w:multiLevelType w:val="hybridMultilevel"/>
    <w:lvl w:ilvl="0">
      <w:lvlJc w:val="left"/>
      <w:lvlText w:val="·"/>
      <w:numFmt w:val="bullet"/>
      <w:start w:val="1"/>
    </w:lvl>
  </w:abstractNum>
  <w:abstractNum w:abstractNumId="118">
    <w:nsid w:val="4F38F265"/>
    <w:multiLevelType w:val="hybridMultilevel"/>
    <w:lvl w:ilvl="0">
      <w:lvlJc w:val="left"/>
      <w:lvlText w:val="(%1)"/>
      <w:numFmt w:val="lowerRoman"/>
      <w:start w:val="3"/>
    </w:lvl>
  </w:abstractNum>
  <w:abstractNum w:abstractNumId="119">
    <w:nsid w:val="4C502870"/>
    <w:multiLevelType w:val="hybridMultilevel"/>
    <w:lvl w:ilvl="0">
      <w:lvlJc w:val="left"/>
      <w:lvlText w:val="·"/>
      <w:numFmt w:val="bullet"/>
      <w:start w:val="1"/>
    </w:lvl>
  </w:abstractNum>
  <w:abstractNum w:abstractNumId="120">
    <w:nsid w:val="1DE8725A"/>
    <w:multiLevelType w:val="hybridMultilevel"/>
    <w:lvl w:ilvl="0">
      <w:lvlJc w:val="left"/>
      <w:lvlText w:val="(%1)"/>
      <w:numFmt w:val="lowerRoman"/>
      <w:start w:val="1"/>
    </w:lvl>
  </w:abstractNum>
  <w:abstractNum w:abstractNumId="121">
    <w:nsid w:val="6A37288A"/>
    <w:multiLevelType w:val="hybridMultilevel"/>
    <w:lvl w:ilvl="0">
      <w:lvlJc w:val="left"/>
      <w:lvlText w:val="·"/>
      <w:numFmt w:val="bullet"/>
      <w:start w:val="1"/>
    </w:lvl>
  </w:abstractNum>
  <w:abstractNum w:abstractNumId="122">
    <w:nsid w:val="8F8B73F"/>
    <w:multiLevelType w:val="hybridMultilevel"/>
    <w:lvl w:ilvl="0">
      <w:lvlJc w:val="left"/>
      <w:lvlText w:val="(%1)"/>
      <w:numFmt w:val="lowerRoman"/>
      <w:start w:val="1"/>
    </w:lvl>
  </w:abstractNum>
  <w:abstractNum w:abstractNumId="123">
    <w:nsid w:val="CA6B462"/>
    <w:multiLevelType w:val="hybridMultilevel"/>
    <w:lvl w:ilvl="0">
      <w:lvlJc w:val="left"/>
      <w:lvlText w:val="*"/>
      <w:numFmt w:val="bullet"/>
      <w:start w:val="1"/>
    </w:lvl>
  </w:abstractNum>
  <w:abstractNum w:abstractNumId="124">
    <w:nsid w:val="763CB680"/>
    <w:multiLevelType w:val="hybridMultilevel"/>
    <w:lvl w:ilvl="0">
      <w:lvlJc w:val="left"/>
      <w:lvlText w:val="(%1)"/>
      <w:numFmt w:val="decimal"/>
      <w:start w:val="1"/>
    </w:lvl>
  </w:abstractNum>
  <w:abstractNum w:abstractNumId="125">
    <w:nsid w:val="15B71329"/>
    <w:multiLevelType w:val="hybridMultilevel"/>
    <w:lvl w:ilvl="0">
      <w:lvlJc w:val="left"/>
      <w:lvlText w:val="·"/>
      <w:numFmt w:val="bullet"/>
      <w:start w:val="1"/>
    </w:lvl>
  </w:abstractNum>
  <w:abstractNum w:abstractNumId="126">
    <w:nsid w:val="3DA97044"/>
    <w:multiLevelType w:val="hybridMultilevel"/>
    <w:lvl w:ilvl="0">
      <w:lvlJc w:val="left"/>
      <w:lvlText w:val="·"/>
      <w:numFmt w:val="bullet"/>
      <w:start w:val="1"/>
    </w:lvl>
  </w:abstractNum>
  <w:abstractNum w:abstractNumId="127">
    <w:nsid w:val="1CDCE2DE"/>
    <w:multiLevelType w:val="hybridMultilevel"/>
    <w:lvl w:ilvl="0">
      <w:lvlJc w:val="left"/>
      <w:lvlText w:val="·"/>
      <w:numFmt w:val="bullet"/>
      <w:start w:val="1"/>
    </w:lvl>
  </w:abstractNum>
  <w:abstractNum w:abstractNumId="128">
    <w:nsid w:val="69D3947C"/>
    <w:multiLevelType w:val="hybridMultilevel"/>
    <w:lvl w:ilvl="0">
      <w:lvlJc w:val="left"/>
      <w:lvlText w:val="·"/>
      <w:numFmt w:val="bullet"/>
      <w:start w:val="1"/>
    </w:lvl>
  </w:abstractNum>
  <w:abstractNum w:abstractNumId="129">
    <w:nsid w:val="2539DFA5"/>
    <w:multiLevelType w:val="hybridMultilevel"/>
    <w:lvl w:ilvl="0">
      <w:lvlJc w:val="left"/>
      <w:lvlText w:val="%1."/>
      <w:numFmt w:val="decimal"/>
      <w:start w:val="740"/>
    </w:lvl>
  </w:abstractNum>
  <w:abstractNum w:abstractNumId="130">
    <w:nsid w:val="2DB88089"/>
    <w:multiLevelType w:val="hybridMultilevel"/>
    <w:lvl w:ilvl="0">
      <w:lvlJc w:val="left"/>
      <w:lvlText w:val="(%1)"/>
      <w:numFmt w:val="lowerRoman"/>
      <w:start w:val="3"/>
    </w:lvl>
  </w:abstractNum>
  <w:abstractNum w:abstractNumId="131">
    <w:nsid w:val="706B674E"/>
    <w:multiLevelType w:val="hybridMultilevel"/>
    <w:lvl w:ilvl="0">
      <w:lvlJc w:val="left"/>
      <w:lvlText w:val="●"/>
      <w:numFmt w:val="bullet"/>
      <w:start w:val="1"/>
    </w:lvl>
  </w:abstractNum>
  <w:abstractNum w:abstractNumId="132">
    <w:nsid w:val="2C106A57"/>
    <w:multiLevelType w:val="hybridMultilevel"/>
    <w:lvl w:ilvl="0">
      <w:lvlJc w:val="left"/>
      <w:lvlText w:val="$"/>
      <w:numFmt w:val="bullet"/>
      <w:start w:val="1"/>
    </w:lvl>
  </w:abstractNum>
  <w:abstractNum w:abstractNumId="133">
    <w:nsid w:val="684EED59"/>
    <w:multiLevelType w:val="hybridMultilevel"/>
    <w:lvl w:ilvl="0">
      <w:lvlJc w:val="left"/>
      <w:lvlText w:val="(%1)"/>
      <w:numFmt w:val="lowerRoman"/>
      <w:start w:val="2"/>
    </w:lvl>
  </w:abstractNum>
  <w:abstractNum w:abstractNumId="134">
    <w:nsid w:val="545EE5D3"/>
    <w:multiLevelType w:val="hybridMultilevel"/>
    <w:lvl w:ilvl="0">
      <w:lvlJc w:val="left"/>
      <w:lvlText w:val="(%1)"/>
      <w:numFmt w:val="lowerLetter"/>
      <w:start w:val="1"/>
    </w:lvl>
  </w:abstractNum>
  <w:abstractNum w:abstractNumId="135">
    <w:nsid w:val="4A66051"/>
    <w:multiLevelType w:val="hybridMultilevel"/>
    <w:lvl w:ilvl="0">
      <w:lvlJc w:val="left"/>
      <w:lvlText w:val="·"/>
      <w:numFmt w:val="bullet"/>
      <w:start w:val="1"/>
    </w:lvl>
  </w:abstractNum>
  <w:abstractNum w:abstractNumId="136">
    <w:nsid w:val="20F4BDAD"/>
    <w:multiLevelType w:val="hybridMultilevel"/>
    <w:lvl w:ilvl="0">
      <w:lvlJc w:val="left"/>
      <w:lvlText w:val="(%1)"/>
      <w:numFmt w:val="lowerLetter"/>
      <w:start w:val="1"/>
    </w:lvl>
  </w:abstractNum>
  <w:abstractNum w:abstractNumId="137">
    <w:nsid w:val="639DEFAC"/>
    <w:multiLevelType w:val="hybridMultilevel"/>
    <w:lvl w:ilvl="0">
      <w:lvlJc w:val="left"/>
      <w:lvlText w:val="(%1)"/>
      <w:numFmt w:val="lowerLetter"/>
      <w:start w:val="1"/>
    </w:lvl>
    <w:lvl w:ilvl="1">
      <w:lvlJc w:val="left"/>
      <w:lvlText w:val="(%2)"/>
      <w:numFmt w:val="lowerRoman"/>
      <w:start w:val="1"/>
    </w:lvl>
  </w:abstractNum>
  <w:abstractNum w:abstractNumId="138">
    <w:nsid w:val="501F9786"/>
    <w:multiLevelType w:val="hybridMultilevel"/>
    <w:lvl w:ilvl="0">
      <w:lvlJc w:val="left"/>
      <w:lvlText w:val="(%1)"/>
      <w:numFmt w:val="lowerLetter"/>
      <w:start w:val="5"/>
    </w:lvl>
  </w:abstractNum>
  <w:abstractNum w:abstractNumId="139">
    <w:nsid w:val="6B057295"/>
    <w:multiLevelType w:val="hybridMultilevel"/>
    <w:lvl w:ilvl="0">
      <w:lvlJc w:val="left"/>
      <w:lvlText w:val="(%1)"/>
      <w:numFmt w:val="lowerLetter"/>
      <w:start w:val="1"/>
    </w:lvl>
  </w:abstractNum>
  <w:abstractNum w:abstractNumId="140">
    <w:nsid w:val="2771AC80"/>
    <w:multiLevelType w:val="hybridMultilevel"/>
    <w:lvl w:ilvl="0">
      <w:lvlJc w:val="left"/>
      <w:lvlText w:val="%1"/>
      <w:numFmt w:val="lowerLetter"/>
      <w:start w:val="1"/>
    </w:lvl>
    <w:lvl w:ilvl="1">
      <w:lvlJc w:val="left"/>
      <w:lvlText w:val="(%2)"/>
      <w:numFmt w:val="lowerLetter"/>
      <w:start w:val="6"/>
    </w:lvl>
  </w:abstractNum>
  <w:abstractNum w:abstractNumId="141">
    <w:nsid w:val="1C4A08EC"/>
    <w:multiLevelType w:val="hybridMultilevel"/>
    <w:lvl w:ilvl="0">
      <w:lvlJc w:val="left"/>
      <w:lvlText w:val="(%1)"/>
      <w:numFmt w:val="lowerLetter"/>
      <w:start w:val="9"/>
    </w:lvl>
    <w:lvl w:ilvl="1">
      <w:lvlJc w:val="left"/>
      <w:lvlText w:val="(%2)"/>
      <w:numFmt w:val="lowerLetter"/>
      <w:start w:val="7"/>
    </w:lvl>
  </w:abstractNum>
  <w:abstractNum w:abstractNumId="142">
    <w:nsid w:val="1958BD17"/>
    <w:multiLevelType w:val="hybridMultilevel"/>
    <w:lvl w:ilvl="0">
      <w:lvlJc w:val="left"/>
      <w:lvlText w:val="(%1)"/>
      <w:numFmt w:val="lowerLetter"/>
      <w:start w:val="1"/>
    </w:lvl>
  </w:abstractNum>
  <w:abstractNum w:abstractNumId="143">
    <w:nsid w:val="4E647FE4"/>
    <w:multiLevelType w:val="hybridMultilevel"/>
    <w:lvl w:ilvl="0">
      <w:lvlJc w:val="left"/>
      <w:lvlText w:val="(%1)"/>
      <w:numFmt w:val="lowerLetter"/>
      <w:start w:val="4"/>
    </w:lvl>
  </w:abstractNum>
  <w:abstractNum w:abstractNumId="144">
    <w:nsid w:val="E0BB885"/>
    <w:multiLevelType w:val="hybridMultilevel"/>
    <w:lvl w:ilvl="0">
      <w:lvlJc w:val="left"/>
      <w:lvlText w:val="%1"/>
      <w:numFmt w:val="upperLetter"/>
      <w:start w:val="1"/>
    </w:lvl>
    <w:lvl w:ilvl="1">
      <w:lvlJc w:val="left"/>
      <w:lvlText w:val="(%2)"/>
      <w:numFmt w:val="lowerLetter"/>
      <w:start w:val="1"/>
    </w:lvl>
  </w:abstractNum>
  <w:abstractNum w:abstractNumId="145">
    <w:nsid w:val="565976F1"/>
    <w:multiLevelType w:val="hybridMultilevel"/>
    <w:lvl w:ilvl="0">
      <w:lvlJc w:val="left"/>
      <w:lvlText w:val="(%1)"/>
      <w:numFmt w:val="upperLetter"/>
      <w:start w:val="2"/>
    </w:lvl>
    <w:lvl w:ilvl="1">
      <w:lvlJc w:val="left"/>
      <w:lvlText w:val="%2"/>
      <w:numFmt w:val="lowerLetter"/>
      <w:start w:val="1"/>
    </w:lvl>
  </w:abstractNum>
  <w:abstractNum w:abstractNumId="146">
    <w:nsid w:val="64212B8C"/>
    <w:multiLevelType w:val="hybridMultilevel"/>
    <w:lvl w:ilvl="0">
      <w:lvlJc w:val="left"/>
      <w:lvlText w:val="(%1)"/>
      <w:numFmt w:val="lowerLetter"/>
      <w:start w:val="2"/>
    </w:lvl>
  </w:abstractNum>
  <w:abstractNum w:abstractNumId="147">
    <w:nsid w:val="5C17530C"/>
    <w:multiLevelType w:val="hybridMultilevel"/>
    <w:lvl w:ilvl="0">
      <w:lvlJc w:val="left"/>
      <w:lvlText w:val="(%1)"/>
      <w:numFmt w:val="lowerLetter"/>
      <w:start w:val="1"/>
    </w:lvl>
  </w:abstractNum>
  <w:abstractNum w:abstractNumId="148">
    <w:nsid w:val="19A52566"/>
    <w:multiLevelType w:val="hybridMultilevel"/>
    <w:lvl w:ilvl="0">
      <w:lvlJc w:val="left"/>
      <w:lvlText w:val="%1"/>
      <w:numFmt w:val="lowerLetter"/>
      <w:start w:val="1"/>
    </w:lvl>
    <w:lvl w:ilvl="1">
      <w:lvlJc w:val="left"/>
      <w:lvlText w:val="(%2)"/>
      <w:numFmt w:val="lowerLetter"/>
      <w:start w:val="1"/>
    </w:lvl>
  </w:abstractNum>
  <w:abstractNum w:abstractNumId="149">
    <w:nsid w:val="335A1DF1"/>
    <w:multiLevelType w:val="hybridMultilevel"/>
    <w:lvl w:ilvl="0">
      <w:lvlJc w:val="left"/>
      <w:lvlText w:val="(%1)"/>
      <w:numFmt w:val="lowerLetter"/>
      <w:start w:val="61"/>
    </w:lvl>
    <w:lvl w:ilvl="1">
      <w:lvlJc w:val="left"/>
      <w:lvlText w:val="(%2)"/>
      <w:numFmt w:val="lowerLetter"/>
      <w:start w:val="2"/>
    </w:lvl>
  </w:abstractNum>
  <w:abstractNum w:abstractNumId="150">
    <w:nsid w:val="28677B7C"/>
    <w:multiLevelType w:val="hybridMultilevel"/>
    <w:lvl w:ilvl="0">
      <w:lvlJc w:val="left"/>
      <w:lvlText w:val="(%1)"/>
      <w:numFmt w:val="lowerLetter"/>
      <w:start w:val="1"/>
    </w:lvl>
  </w:abstractNum>
  <w:abstractNum w:abstractNumId="151">
    <w:nsid w:val="378D97C0"/>
    <w:multiLevelType w:val="hybridMultilevel"/>
    <w:lvl w:ilvl="0">
      <w:lvlJc w:val="left"/>
      <w:lvlText w:val="(%1)"/>
      <w:numFmt w:val="lowerLetter"/>
      <w:start w:val="1"/>
    </w:lvl>
  </w:abstractNum>
  <w:abstractNum w:abstractNumId="152">
    <w:nsid w:val="1D91467C"/>
    <w:multiLevelType w:val="hybridMultilevel"/>
    <w:lvl w:ilvl="0">
      <w:lvlJc w:val="left"/>
      <w:lvlText w:val="(%1)"/>
      <w:numFmt w:val="lowerLetter"/>
      <w:start w:val="1"/>
    </w:lvl>
  </w:abstractNum>
  <w:abstractNum w:abstractNumId="153">
    <w:nsid w:val="316032BB"/>
    <w:multiLevelType w:val="hybridMultilevel"/>
    <w:lvl w:ilvl="0">
      <w:lvlJc w:val="left"/>
      <w:lvlText w:val="(%1)"/>
      <w:numFmt w:val="lowerLetter"/>
      <w:start w:val="1"/>
    </w:lvl>
  </w:abstractNum>
  <w:abstractNum w:abstractNumId="154">
    <w:nsid w:val="44344C22"/>
    <w:multiLevelType w:val="hybridMultilevel"/>
    <w:lvl w:ilvl="0">
      <w:lvlJc w:val="left"/>
      <w:lvlText w:val="(%1)"/>
      <w:numFmt w:val="lowerLetter"/>
      <w:start w:val="3"/>
    </w:lvl>
  </w:abstractNum>
  <w:abstractNum w:abstractNumId="155">
    <w:nsid w:val="13CDFCFC"/>
    <w:multiLevelType w:val="hybridMultilevel"/>
    <w:lvl w:ilvl="0">
      <w:lvlJc w:val="left"/>
      <w:lvlText w:val="(%1)"/>
      <w:numFmt w:val="lowerLetter"/>
      <w:start w:val="1"/>
    </w:lvl>
    <w:lvl w:ilvl="1">
      <w:lvlJc w:val="left"/>
      <w:lvlText w:val="(%2)"/>
      <w:numFmt w:val="lowerLetter"/>
      <w:start w:val="9"/>
    </w:lvl>
  </w:abstractNum>
  <w:abstractNum w:abstractNumId="156">
    <w:nsid w:val="471745E4"/>
    <w:multiLevelType w:val="hybridMultilevel"/>
    <w:lvl w:ilvl="0">
      <w:lvlJc w:val="left"/>
      <w:lvlText w:val="%1"/>
      <w:numFmt w:val="lowerLetter"/>
      <w:start w:val="1"/>
    </w:lvl>
    <w:lvl w:ilvl="1">
      <w:lvlJc w:val="left"/>
      <w:lvlText w:val="(%2)"/>
      <w:numFmt w:val="lowerLetter"/>
      <w:start w:val="35"/>
    </w:lvl>
  </w:abstractNum>
  <w:abstractNum w:abstractNumId="157">
    <w:nsid w:val="1DDBC66"/>
    <w:multiLevelType w:val="hybridMultilevel"/>
    <w:lvl w:ilvl="0">
      <w:lvlJc w:val="left"/>
      <w:lvlText w:val="(%1)"/>
      <w:numFmt w:val="lowerLetter"/>
      <w:start w:val="2"/>
    </w:lvl>
    <w:lvl w:ilvl="1">
      <w:lvlJc w:val="left"/>
      <w:lvlText w:val="%2"/>
      <w:numFmt w:val="lowerLetter"/>
      <w:start w:val="1"/>
    </w:lvl>
  </w:abstractNum>
  <w:abstractNum w:abstractNumId="158">
    <w:nsid w:val="30AADFDA"/>
    <w:multiLevelType w:val="hybridMultilevel"/>
    <w:lvl w:ilvl="0">
      <w:lvlJc w:val="left"/>
      <w:lvlText w:val="(%1)"/>
      <w:numFmt w:val="lowerLetter"/>
      <w:start w:val="1"/>
    </w:lvl>
    <w:lvl w:ilvl="1">
      <w:lvlJc w:val="left"/>
      <w:lvlText w:val="(%2)"/>
      <w:numFmt w:val="lowerRoman"/>
      <w:start w:val="1"/>
    </w:lvl>
  </w:abstractNum>
  <w:abstractNum w:abstractNumId="159">
    <w:nsid w:val="30EADA61"/>
    <w:multiLevelType w:val="hybridMultilevel"/>
    <w:lvl w:ilvl="0">
      <w:lvlJc w:val="left"/>
      <w:lvlText w:val="%1"/>
      <w:numFmt w:val="lowerLetter"/>
      <w:start w:val="1"/>
    </w:lvl>
    <w:lvl w:ilvl="1">
      <w:lvlJc w:val="left"/>
      <w:lvlText w:val="(%2)"/>
      <w:numFmt w:val="lowerRoman"/>
      <w:start w:val="12"/>
    </w:lvl>
  </w:abstractNum>
  <w:abstractNum w:abstractNumId="160">
    <w:nsid w:val="27179C0B"/>
    <w:multiLevelType w:val="hybridMultilevel"/>
    <w:lvl w:ilvl="0">
      <w:lvlJc w:val="left"/>
      <w:lvlText w:val="(%1)"/>
      <w:numFmt w:val="lowerLetter"/>
      <w:start w:val="2"/>
    </w:lvl>
    <w:lvl w:ilvl="1">
      <w:lvlJc w:val="left"/>
      <w:lvlText w:val="%2"/>
      <w:numFmt w:val="lowerRoman"/>
      <w:start w:val="1"/>
    </w:lvl>
  </w:abstractNum>
  <w:abstractNum w:abstractNumId="161">
    <w:nsid w:val="5E636063"/>
    <w:multiLevelType w:val="hybridMultilevel"/>
    <w:lvl w:ilvl="0">
      <w:lvlJc w:val="left"/>
      <w:lvlText w:val="(%1)"/>
      <w:numFmt w:val="lowerLetter"/>
      <w:start w:val="1"/>
    </w:lvl>
  </w:abstractNum>
  <w:abstractNum w:abstractNumId="162">
    <w:nsid w:val="215641AF"/>
    <w:multiLevelType w:val="hybridMultilevel"/>
    <w:lvl w:ilvl="0">
      <w:lvlJc w:val="left"/>
      <w:lvlText w:val="(%1)"/>
      <w:numFmt w:val="lowerLetter"/>
      <w:start w:val="2"/>
    </w:lvl>
  </w:abstractNum>
  <w:abstractNum w:abstractNumId="163">
    <w:nsid w:val="53280662"/>
    <w:multiLevelType w:val="hybridMultilevel"/>
    <w:lvl w:ilvl="0">
      <w:lvlJc w:val="left"/>
      <w:lvlText w:val="(%1)"/>
      <w:numFmt w:val="lowerLetter"/>
      <w:start w:val="6"/>
    </w:lvl>
  </w:abstractNum>
  <w:abstractNum w:abstractNumId="164">
    <w:nsid w:val="46B24DBC"/>
    <w:multiLevelType w:val="hybridMultilevel"/>
    <w:lvl w:ilvl="0">
      <w:lvlJc w:val="left"/>
      <w:lvlText w:val="(%1)"/>
      <w:numFmt w:val="lowerLetter"/>
      <w:start w:val="1"/>
    </w:lvl>
  </w:abstractNum>
  <w:abstractNum w:abstractNumId="165">
    <w:nsid w:val="75B52783"/>
    <w:multiLevelType w:val="hybridMultilevel"/>
    <w:lvl w:ilvl="0">
      <w:lvlJc w:val="left"/>
      <w:lvlText w:val="(%1)"/>
      <w:numFmt w:val="lowerLetter"/>
      <w:start w:val="8"/>
    </w:lvl>
  </w:abstractNum>
  <w:abstractNum w:abstractNumId="166">
    <w:nsid w:val="57CE66B4"/>
    <w:multiLevelType w:val="hybridMultilevel"/>
    <w:lvl w:ilvl="0">
      <w:lvlJc w:val="left"/>
      <w:lvlText w:val="(%1)"/>
      <w:numFmt w:val="lowerLetter"/>
      <w:start w:val="1"/>
    </w:lvl>
  </w:abstractNum>
  <w:abstractNum w:abstractNumId="167">
    <w:nsid w:val="67A70B69"/>
    <w:multiLevelType w:val="hybridMultilevel"/>
    <w:lvl w:ilvl="0">
      <w:lvlJc w:val="left"/>
      <w:lvlText w:val="(%1)"/>
      <w:numFmt w:val="lowerLetter"/>
      <w:start w:val="4"/>
    </w:lvl>
  </w:abstractNum>
  <w:abstractNum w:abstractNumId="168">
    <w:nsid w:val="5953172F"/>
    <w:multiLevelType w:val="hybridMultilevel"/>
    <w:lvl w:ilvl="0">
      <w:lvlJc w:val="left"/>
      <w:lvlText w:val="%1"/>
      <w:numFmt w:val="lowerLetter"/>
      <w:start w:val="1"/>
    </w:lvl>
    <w:lvl w:ilvl="1">
      <w:lvlJc w:val="left"/>
      <w:lvlText w:val="(%2)"/>
      <w:numFmt w:val="lowerLetter"/>
      <w:start w:val="1"/>
    </w:lvl>
  </w:abstractNum>
  <w:abstractNum w:abstractNumId="169">
    <w:nsid w:val="27EDFE3A"/>
    <w:multiLevelType w:val="hybridMultilevel"/>
    <w:lvl w:ilvl="0">
      <w:lvlJc w:val="left"/>
      <w:lvlText w:val="(%1)"/>
      <w:numFmt w:val="lowerLetter"/>
      <w:start w:val="9"/>
    </w:lvl>
    <w:lvl w:ilvl="1">
      <w:lvlJc w:val="left"/>
      <w:lvlText w:val="(%2)"/>
      <w:numFmt w:val="lowerLetter"/>
      <w:start w:val="3"/>
    </w:lvl>
  </w:abstractNum>
  <w:abstractNum w:abstractNumId="170">
    <w:nsid w:val="52AC7DFF"/>
    <w:multiLevelType w:val="hybridMultilevel"/>
    <w:lvl w:ilvl="0">
      <w:lvlJc w:val="left"/>
      <w:lvlText w:val="(%1)"/>
      <w:numFmt w:val="lowerLetter"/>
      <w:start w:val="5"/>
    </w:lvl>
  </w:abstractNum>
  <w:abstractNum w:abstractNumId="171">
    <w:nsid w:val="C4C3AF"/>
    <w:multiLevelType w:val="hybridMultilevel"/>
    <w:lvl w:ilvl="0">
      <w:lvlJc w:val="left"/>
      <w:lvlText w:val="(%1)"/>
      <w:numFmt w:val="lowerLetter"/>
      <w:start w:val="1"/>
    </w:lvl>
  </w:abstractNum>
  <w:abstractNum w:abstractNumId="172">
    <w:nsid w:val="44380727"/>
    <w:multiLevelType w:val="hybridMultilevel"/>
    <w:lvl w:ilvl="0">
      <w:lvlJc w:val="left"/>
      <w:lvlText w:val="(%1)"/>
      <w:numFmt w:val="lowerLetter"/>
      <w:start w:val="3"/>
    </w:lvl>
  </w:abstractNum>
  <w:abstractNum w:abstractNumId="173">
    <w:nsid w:val="6C053B16"/>
    <w:multiLevelType w:val="hybridMultilevel"/>
    <w:lvl w:ilvl="0">
      <w:lvlJc w:val="left"/>
      <w:lvlText w:val="(%1)"/>
      <w:numFmt w:val="lowerLetter"/>
      <w:start w:val="1"/>
    </w:lvl>
  </w:abstractNum>
  <w:abstractNum w:abstractNumId="174">
    <w:nsid w:val="4F294393"/>
    <w:multiLevelType w:val="hybridMultilevel"/>
    <w:lvl w:ilvl="0">
      <w:lvlJc w:val="left"/>
      <w:lvlText w:val="(%1)"/>
      <w:numFmt w:val="lowerLetter"/>
      <w:start w:val="2"/>
    </w:lvl>
  </w:abstractNum>
  <w:abstractNum w:abstractNumId="175">
    <w:nsid w:val="5243BFAC"/>
    <w:multiLevelType w:val="hybridMultilevel"/>
    <w:lvl w:ilvl="0">
      <w:lvlJc w:val="left"/>
      <w:lvlText w:val="(%1)"/>
      <w:numFmt w:val="lowerLetter"/>
      <w:start w:val="1"/>
    </w:lvl>
  </w:abstractNum>
  <w:abstractNum w:abstractNumId="176">
    <w:nsid w:val="425EB207"/>
    <w:multiLevelType w:val="hybridMultilevel"/>
    <w:lvl w:ilvl="0">
      <w:lvlJc w:val="left"/>
      <w:lvlText w:val="(%1)"/>
      <w:numFmt w:val="lowerLetter"/>
      <w:start w:val="4"/>
    </w:lvl>
  </w:abstractNum>
  <w:abstractNum w:abstractNumId="177">
    <w:nsid w:val="334A6F1F"/>
    <w:multiLevelType w:val="hybridMultilevel"/>
    <w:lvl w:ilvl="0">
      <w:lvlJc w:val="left"/>
      <w:lvlText w:val="(%1)"/>
      <w:numFmt w:val="decimal"/>
      <w:start w:val="12"/>
    </w:lvl>
  </w:abstractNum>
  <w:abstractNum w:abstractNumId="178">
    <w:nsid w:val="2E5B12B8"/>
    <w:multiLevelType w:val="hybridMultilevel"/>
    <w:lvl w:ilvl="0">
      <w:lvlJc w:val="left"/>
      <w:lvlText w:val="(%1)"/>
      <w:numFmt w:val="lowerLetter"/>
      <w:start w:val="1"/>
    </w:lvl>
  </w:abstractNum>
  <w:abstractNum w:abstractNumId="179">
    <w:nsid w:val="5C03D76D"/>
    <w:multiLevelType w:val="hybridMultilevel"/>
    <w:lvl w:ilvl="0">
      <w:lvlJc w:val="left"/>
      <w:lvlText w:val="(%1)"/>
      <w:numFmt w:val="lowerLetter"/>
      <w:start w:val="1"/>
    </w:lvl>
  </w:abstractNum>
  <w:abstractNum w:abstractNumId="180">
    <w:nsid w:val="66A48D11"/>
    <w:multiLevelType w:val="hybridMultilevel"/>
    <w:lvl w:ilvl="0">
      <w:lvlJc w:val="left"/>
      <w:lvlText w:val="(%1)"/>
      <w:numFmt w:val="lowerLetter"/>
      <w:start w:val="1"/>
    </w:lvl>
  </w:abstractNum>
  <w:abstractNum w:abstractNumId="181">
    <w:nsid w:val="56C28E34"/>
    <w:multiLevelType w:val="hybridMultilevel"/>
    <w:lvl w:ilvl="0">
      <w:lvlJc w:val="left"/>
      <w:lvlText w:val="(%1)"/>
      <w:numFmt w:val="lowerLetter"/>
      <w:start w:val="1"/>
    </w:lvl>
  </w:abstractNum>
  <w:abstractNum w:abstractNumId="182">
    <w:nsid w:val="13916F2D"/>
    <w:multiLevelType w:val="hybridMultilevel"/>
    <w:lvl w:ilvl="0">
      <w:lvlJc w:val="left"/>
      <w:lvlText w:val="(%1)"/>
      <w:numFmt w:val="lowerLetter"/>
      <w:start w:val="1"/>
    </w:lvl>
  </w:abstractNum>
  <w:abstractNum w:abstractNumId="183">
    <w:nsid w:val="435D38D"/>
    <w:multiLevelType w:val="hybridMultilevel"/>
    <w:lvl w:ilvl="0">
      <w:lvlJc w:val="left"/>
      <w:lvlText w:val="(%1)"/>
      <w:numFmt w:val="lowerLetter"/>
      <w:start w:val="2"/>
    </w:lvl>
    <w:lvl w:ilvl="1">
      <w:lvlJc w:val="left"/>
      <w:lvlText w:val="(%2)"/>
      <w:numFmt w:val="lowerRoman"/>
      <w:start w:val="1"/>
    </w:lvl>
  </w:abstractNum>
  <w:abstractNum w:abstractNumId="184">
    <w:nsid w:val="822C0EF"/>
    <w:multiLevelType w:val="hybridMultilevel"/>
    <w:lvl w:ilvl="0">
      <w:lvlJc w:val="left"/>
      <w:lvlText w:val="(%1)"/>
      <w:numFmt w:val="lowerRoman"/>
      <w:start w:val="12"/>
    </w:lvl>
  </w:abstractNum>
  <w:abstractNum w:abstractNumId="185">
    <w:nsid w:val="57C5BB4F"/>
    <w:multiLevelType w:val="hybridMultilevel"/>
    <w:lvl w:ilvl="0">
      <w:lvlJc w:val="left"/>
      <w:lvlText w:val="(%1)"/>
      <w:numFmt w:val="lowerLetter"/>
      <w:start w:val="1"/>
    </w:lvl>
  </w:abstractNum>
  <w:abstractNum w:abstractNumId="186">
    <w:nsid w:val="1803D089"/>
    <w:multiLevelType w:val="hybridMultilevel"/>
    <w:lvl w:ilvl="0">
      <w:lvlJc w:val="left"/>
      <w:lvlText w:val="(%1)"/>
      <w:numFmt w:val="lowerLetter"/>
      <w:start w:val="2"/>
    </w:lvl>
    <w:lvl w:ilvl="1">
      <w:lvlJc w:val="left"/>
      <w:lvlText w:val="(%2)"/>
      <w:numFmt w:val="lowerRoman"/>
      <w:start w:val="1"/>
    </w:lvl>
  </w:abstractNum>
  <w:abstractNum w:abstractNumId="187">
    <w:nsid w:val="4F3A06D4"/>
    <w:multiLevelType w:val="hybridMultilevel"/>
    <w:lvl w:ilvl="0">
      <w:lvlJc w:val="left"/>
      <w:lvlText w:val="(%1)"/>
      <w:numFmt w:val="lowerRoman"/>
      <w:start w:val="12"/>
    </w:lvl>
  </w:abstractNum>
  <w:abstractNum w:abstractNumId="188">
    <w:nsid w:val="59A377B6"/>
    <w:multiLevelType w:val="hybridMultilevel"/>
    <w:lvl w:ilvl="0">
      <w:lvlJc w:val="left"/>
      <w:lvlText w:val="(%1)"/>
      <w:numFmt w:val="lowerLetter"/>
      <w:start w:val="1"/>
    </w:lvl>
  </w:abstractNum>
  <w:abstractNum w:abstractNumId="189">
    <w:nsid w:val="48AEB063"/>
    <w:multiLevelType w:val="hybridMultilevel"/>
    <w:lvl w:ilvl="0">
      <w:lvlJc w:val="left"/>
      <w:lvlText w:val="(%1)"/>
      <w:numFmt w:val="lowerLetter"/>
      <w:start w:val="2"/>
    </w:lvl>
  </w:abstractNum>
  <w:abstractNum w:abstractNumId="190">
    <w:nsid w:val="24E135"/>
    <w:multiLevelType w:val="hybridMultilevel"/>
    <w:lvl w:ilvl="0">
      <w:lvlJc w:val="left"/>
      <w:lvlText w:val="(%1)"/>
      <w:numFmt w:val="lowerLetter"/>
      <w:start w:val="1"/>
    </w:lvl>
  </w:abstractNum>
  <w:abstractNum w:abstractNumId="191">
    <w:nsid w:val="BB13C1"/>
    <w:multiLevelType w:val="hybridMultilevel"/>
    <w:lvl w:ilvl="0">
      <w:lvlJc w:val="left"/>
      <w:lvlText w:val="(%1)"/>
      <w:numFmt w:val="lowerLetter"/>
      <w:start w:val="5"/>
    </w:lvl>
  </w:abstractNum>
  <w:abstractNum w:abstractNumId="192">
    <w:nsid w:val="271210C7"/>
    <w:multiLevelType w:val="hybridMultilevel"/>
    <w:lvl w:ilvl="0">
      <w:lvlJc w:val="left"/>
      <w:lvlText w:val="(%1)"/>
      <w:numFmt w:val="lowerLetter"/>
      <w:start w:val="1"/>
    </w:lvl>
  </w:abstractNum>
  <w:abstractNum w:abstractNumId="193">
    <w:nsid w:val="217B22E4"/>
    <w:multiLevelType w:val="hybridMultilevel"/>
    <w:lvl w:ilvl="0">
      <w:lvlJc w:val="left"/>
      <w:lvlText w:val="(%1)"/>
      <w:numFmt w:val="lowerLetter"/>
      <w:start w:val="1"/>
    </w:lvl>
  </w:abstractNum>
  <w:abstractNum w:abstractNumId="194">
    <w:nsid w:val="53E31A24"/>
    <w:multiLevelType w:val="hybridMultilevel"/>
    <w:lvl w:ilvl="0">
      <w:lvlJc w:val="left"/>
      <w:lvlText w:val="(%1)"/>
      <w:numFmt w:val="lowerLetter"/>
      <w:start w:val="2"/>
    </w:lvl>
  </w:abstractNum>
  <w:abstractNum w:abstractNumId="195">
    <w:nsid w:val="6DC45E83"/>
    <w:multiLevelType w:val="hybridMultilevel"/>
    <w:lvl w:ilvl="0">
      <w:lvlJc w:val="left"/>
      <w:lvlText w:val="(%1)"/>
      <w:numFmt w:val="lowerLetter"/>
      <w:start w:val="1"/>
    </w:lvl>
  </w:abstractNum>
  <w:abstractNum w:abstractNumId="196">
    <w:nsid w:val="17304A67"/>
    <w:multiLevelType w:val="hybridMultilevel"/>
    <w:lvl w:ilvl="0">
      <w:lvlJc w:val="left"/>
      <w:lvlText w:val="(%1)"/>
      <w:numFmt w:val="lowerLetter"/>
      <w:start w:val="2"/>
    </w:lvl>
  </w:abstractNum>
  <w:abstractNum w:abstractNumId="197">
    <w:nsid w:val="2BB180D8"/>
    <w:multiLevelType w:val="hybridMultilevel"/>
    <w:lvl w:ilvl="0">
      <w:lvlJc w:val="left"/>
      <w:lvlText w:val="(%1)"/>
      <w:numFmt w:val="lowerLetter"/>
      <w:start w:val="1"/>
    </w:lvl>
  </w:abstractNum>
  <w:abstractNum w:abstractNumId="198">
    <w:nsid w:val="556B69ED"/>
    <w:multiLevelType w:val="hybridMultilevel"/>
    <w:lvl w:ilvl="0">
      <w:lvlJc w:val="left"/>
      <w:lvlText w:val="(%1)"/>
      <w:numFmt w:val="lowerLetter"/>
      <w:start w:val="1"/>
    </w:lvl>
  </w:abstractNum>
  <w:abstractNum w:abstractNumId="199">
    <w:nsid w:val="70836196"/>
    <w:multiLevelType w:val="hybridMultilevel"/>
    <w:lvl w:ilvl="0">
      <w:lvlJc w:val="left"/>
      <w:lvlText w:val="(%1)"/>
      <w:numFmt w:val="lowerLetter"/>
      <w:start w:val="1"/>
    </w:lvl>
  </w:abstractNum>
  <w:abstractNum w:abstractNumId="200">
    <w:nsid w:val="539F7F12"/>
    <w:multiLevelType w:val="hybridMultilevel"/>
    <w:lvl w:ilvl="0">
      <w:lvlJc w:val="left"/>
      <w:lvlText w:val="(%1)"/>
      <w:numFmt w:val="lowerLetter"/>
      <w:start w:val="1"/>
    </w:lvl>
  </w:abstractNum>
  <w:abstractNum w:abstractNumId="201">
    <w:nsid w:val="2817E7EC"/>
    <w:multiLevelType w:val="hybridMultilevel"/>
    <w:lvl w:ilvl="0">
      <w:lvlJc w:val="left"/>
      <w:lvlText w:val="(%1)"/>
      <w:numFmt w:val="lowerLetter"/>
      <w:start w:val="1"/>
    </w:lvl>
  </w:abstractNum>
  <w:abstractNum w:abstractNumId="202">
    <w:nsid w:val="71482545"/>
    <w:multiLevelType w:val="hybridMultilevel"/>
    <w:lvl w:ilvl="0">
      <w:lvlJc w:val="left"/>
      <w:lvlText w:val="(%1)"/>
      <w:numFmt w:val="lowerLetter"/>
      <w:start w:val="1"/>
    </w:lvl>
  </w:abstractNum>
  <w:abstractNum w:abstractNumId="203">
    <w:nsid w:val="17D78639"/>
    <w:multiLevelType w:val="hybridMultilevel"/>
    <w:lvl w:ilvl="0">
      <w:lvlJc w:val="left"/>
      <w:lvlText w:val="(%1)"/>
      <w:numFmt w:val="lowerLetter"/>
      <w:start w:val="3"/>
    </w:lvl>
  </w:abstractNum>
  <w:abstractNum w:abstractNumId="204">
    <w:nsid w:val="141D2302"/>
    <w:multiLevelType w:val="hybridMultilevel"/>
    <w:lvl w:ilvl="0">
      <w:lvlJc w:val="left"/>
      <w:lvlText w:val="(%1)"/>
      <w:numFmt w:val="lowerLetter"/>
      <w:start w:val="1"/>
    </w:lvl>
  </w:abstractNum>
  <w:abstractNum w:abstractNumId="205">
    <w:nsid w:val="407168D8"/>
    <w:multiLevelType w:val="hybridMultilevel"/>
    <w:lvl w:ilvl="0">
      <w:lvlJc w:val="left"/>
      <w:lvlText w:val="(%1)"/>
      <w:numFmt w:val="lowerLetter"/>
      <w:start w:val="5"/>
    </w:lvl>
    <w:lvl w:ilvl="1">
      <w:lvlJc w:val="left"/>
      <w:lvlText w:val="(%2)"/>
      <w:numFmt w:val="lowerRoman"/>
      <w:start w:val="1"/>
    </w:lvl>
  </w:abstractNum>
  <w:abstractNum w:abstractNumId="206">
    <w:nsid w:val="6A1B45E5"/>
    <w:multiLevelType w:val="hybridMultilevel"/>
    <w:lvl w:ilvl="0">
      <w:lvlJc w:val="left"/>
      <w:lvlText w:val="(%1)"/>
      <w:numFmt w:val="lowerLetter"/>
      <w:start w:val="1"/>
    </w:lvl>
    <w:lvl w:ilvl="1">
      <w:lvlJc w:val="left"/>
      <w:lvlText w:val="(%2)"/>
      <w:numFmt w:val="lowerRoman"/>
      <w:start w:val="1"/>
    </w:lvl>
  </w:abstractNum>
  <w:abstractNum w:abstractNumId="207">
    <w:nsid w:val="567BD50A"/>
    <w:multiLevelType w:val="hybridMultilevel"/>
    <w:lvl w:ilvl="0">
      <w:lvlJc w:val="left"/>
      <w:lvlText w:val="(%1)"/>
      <w:numFmt w:val="lowerRoman"/>
      <w:start w:val="3"/>
    </w:lvl>
  </w:abstractNum>
  <w:abstractNum w:abstractNumId="208">
    <w:nsid w:val="73BBD7F8"/>
    <w:multiLevelType w:val="hybridMultilevel"/>
    <w:lvl w:ilvl="0">
      <w:lvlJc w:val="left"/>
      <w:lvlText w:val="(%1)"/>
      <w:numFmt w:val="lowerRoman"/>
      <w:start w:val="8"/>
    </w:lvl>
  </w:abstractNum>
  <w:abstractNum w:abstractNumId="209">
    <w:nsid w:val="1876589D"/>
    <w:multiLevelType w:val="hybridMultilevel"/>
    <w:lvl w:ilvl="0">
      <w:lvlJc w:val="left"/>
      <w:lvlText w:val="(%1)"/>
      <w:numFmt w:val="lowerLetter"/>
      <w:start w:val="1"/>
    </w:lvl>
  </w:abstractNum>
  <w:abstractNum w:abstractNumId="210">
    <w:nsid w:val="327FAC77"/>
    <w:multiLevelType w:val="hybridMultilevel"/>
    <w:lvl w:ilvl="0">
      <w:lvlJc w:val="left"/>
      <w:lvlText w:val="(%1)"/>
      <w:numFmt w:val="lowerLetter"/>
      <w:start w:val="2"/>
    </w:lvl>
  </w:abstractNum>
  <w:abstractNum w:abstractNumId="211">
    <w:nsid w:val="5A606509"/>
    <w:multiLevelType w:val="hybridMultilevel"/>
    <w:lvl w:ilvl="0">
      <w:lvlJc w:val="left"/>
      <w:lvlText w:val="(%1)"/>
      <w:numFmt w:val="upperLetter"/>
      <w:start w:val="1"/>
    </w:lvl>
  </w:abstractNum>
  <w:abstractNum w:abstractNumId="212">
    <w:nsid w:val="6F38E6D1"/>
    <w:multiLevelType w:val="hybridMultilevel"/>
    <w:lvl w:ilvl="0">
      <w:lvlJc w:val="left"/>
      <w:lvlText w:val="(%1)"/>
      <w:numFmt w:val="lowerLetter"/>
      <w:start w:val="3"/>
    </w:lvl>
  </w:abstractNum>
  <w:abstractNum w:abstractNumId="213">
    <w:nsid w:val="46111BA5"/>
    <w:multiLevelType w:val="hybridMultilevel"/>
    <w:lvl w:ilvl="0">
      <w:lvlJc w:val="left"/>
      <w:lvlText w:val="(%1)"/>
      <w:numFmt w:val="lowerLetter"/>
      <w:start w:val="2"/>
    </w:lvl>
  </w:abstractNum>
  <w:abstractNum w:abstractNumId="214">
    <w:nsid w:val="5E963896"/>
    <w:multiLevelType w:val="hybridMultilevel"/>
    <w:lvl w:ilvl="0">
      <w:lvlJc w:val="left"/>
      <w:lvlText w:val="(%1)"/>
      <w:numFmt w:val="lowerRoman"/>
      <w:start w:val="6"/>
    </w:lvl>
  </w:abstractNum>
  <w:abstractNum w:abstractNumId="215">
    <w:nsid w:val="775BA7C1"/>
    <w:multiLevelType w:val="hybridMultilevel"/>
    <w:lvl w:ilvl="0">
      <w:lvlJc w:val="left"/>
      <w:lvlText w:val="%1."/>
      <w:numFmt w:val="decimal"/>
      <w:start w:val="1"/>
    </w:lvl>
    <w:lvl w:ilvl="1">
      <w:lvlJc w:val="left"/>
      <w:lvlText w:val="(%2)"/>
      <w:numFmt w:val="lowerLetter"/>
      <w:start w:val="1"/>
    </w:lvl>
  </w:abstractNum>
  <w:abstractNum w:abstractNumId="216">
    <w:nsid w:val="1DD6D6F4"/>
    <w:multiLevelType w:val="hybridMultilevel"/>
    <w:lvl w:ilvl="0">
      <w:lvlJc w:val="left"/>
      <w:lvlText w:val="%1"/>
      <w:numFmt w:val="decimal"/>
      <w:start w:val="1"/>
    </w:lvl>
    <w:lvl w:ilvl="1">
      <w:lvlJc w:val="left"/>
      <w:lvlText w:val="(%2)"/>
      <w:numFmt w:val="lowerLetter"/>
      <w:start w:val="2"/>
    </w:lvl>
  </w:abstractNum>
  <w:abstractNum w:abstractNumId="217">
    <w:nsid w:val="769A091F"/>
    <w:multiLevelType w:val="hybridMultilevel"/>
    <w:lvl w:ilvl="0">
      <w:lvlJc w:val="left"/>
      <w:lvlText w:val="%1."/>
      <w:numFmt w:val="decimal"/>
      <w:start w:val="2"/>
    </w:lvl>
    <w:lvl w:ilvl="1">
      <w:lvlJc w:val="left"/>
      <w:lvlText w:val="%2"/>
      <w:numFmt w:val="lowerLetter"/>
      <w:start w:val="1"/>
    </w:lvl>
  </w:abstractNum>
  <w:abstractNum w:abstractNumId="218">
    <w:nsid w:val="4695AE95"/>
    <w:multiLevelType w:val="hybridMultilevel"/>
    <w:lvl w:ilvl="0">
      <w:lvlJc w:val="left"/>
      <w:lvlText w:val="%1."/>
      <w:numFmt w:val="decimal"/>
      <w:start w:val="4"/>
    </w:lvl>
    <w:lvl w:ilvl="1">
      <w:lvlJc w:val="left"/>
      <w:lvlText w:val="(%2)"/>
      <w:numFmt w:val="lowerLetter"/>
      <w:start w:val="1"/>
    </w:lvl>
  </w:abstractNum>
  <w:abstractNum w:abstractNumId="219">
    <w:nsid w:val="777A4EAA"/>
    <w:multiLevelType w:val="hybridMultilevel"/>
    <w:lvl w:ilvl="0">
      <w:lvlJc w:val="left"/>
      <w:lvlText w:val="%1."/>
      <w:numFmt w:val="decimal"/>
      <w:start w:val="5"/>
    </w:lvl>
    <w:lvl w:ilvl="1">
      <w:lvlJc w:val="left"/>
      <w:lvlText w:val="(%2)"/>
      <w:numFmt w:val="lowerLetter"/>
      <w:start w:val="1"/>
    </w:lvl>
  </w:abstractNum>
  <w:abstractNum w:abstractNumId="220">
    <w:nsid w:val="3F48B982"/>
    <w:multiLevelType w:val="hybridMultilevel"/>
    <w:lvl w:ilvl="0">
      <w:lvlJc w:val="left"/>
      <w:lvlText w:val="(%1)"/>
      <w:numFmt w:val="lowerLetter"/>
      <w:start w:val="7"/>
    </w:lvl>
  </w:abstractNum>
  <w:abstractNum w:abstractNumId="221">
    <w:nsid w:val="46BA8FCA"/>
    <w:multiLevelType w:val="hybridMultilevel"/>
    <w:lvl w:ilvl="0">
      <w:lvlJc w:val="left"/>
      <w:lvlText w:val="(%1)"/>
      <w:numFmt w:val="lowerLetter"/>
      <w:start w:val="8"/>
    </w:lvl>
  </w:abstractNum>
  <w:abstractNum w:abstractNumId="222">
    <w:nsid w:val="7835626C"/>
    <w:multiLevelType w:val="hybridMultilevel"/>
    <w:lvl w:ilvl="0">
      <w:lvlJc w:val="left"/>
      <w:lvlText w:val="(%1)"/>
      <w:numFmt w:val="lowerLetter"/>
      <w:start w:val="10"/>
    </w:lvl>
    <w:lvl w:ilvl="1">
      <w:lvlJc w:val="left"/>
      <w:lvlText w:val="(%2)"/>
      <w:numFmt w:val="lowerLetter"/>
      <w:start w:val="11"/>
    </w:lvl>
  </w:abstractNum>
  <w:abstractNum w:abstractNumId="223">
    <w:nsid w:val="665ACA49"/>
    <w:multiLevelType w:val="hybridMultilevel"/>
    <w:lvl w:ilvl="0">
      <w:lvlJc w:val="left"/>
      <w:lvlText w:val="(%1)"/>
      <w:numFmt w:val="lowerLetter"/>
      <w:start w:val="13"/>
    </w:lvl>
  </w:abstractNum>
  <w:abstractNum w:abstractNumId="224">
    <w:nsid w:val="6835B2AE"/>
    <w:multiLevelType w:val="hybridMultilevel"/>
    <w:lvl w:ilvl="0">
      <w:lvlJc w:val="left"/>
      <w:lvlText w:val="%1."/>
      <w:numFmt w:val="decimal"/>
      <w:start w:val="1"/>
    </w:lvl>
  </w:abstractNum>
  <w:abstractNum w:abstractNumId="225">
    <w:nsid w:val="4C187C90"/>
    <w:multiLevelType w:val="hybridMultilevel"/>
    <w:lvl w:ilvl="0">
      <w:lvlJc w:val="left"/>
      <w:lvlText w:val="%1."/>
      <w:numFmt w:val="decimal"/>
      <w:start w:val="1"/>
    </w:lvl>
  </w:abstractNum>
  <w:abstractNum w:abstractNumId="226">
    <w:nsid w:val="541F28CD"/>
    <w:multiLevelType w:val="hybridMultilevel"/>
    <w:lvl w:ilvl="0">
      <w:lvlJc w:val="left"/>
      <w:lvlText w:val="%1."/>
      <w:numFmt w:val="decimal"/>
      <w:start w:val="6"/>
    </w:lvl>
    <w:lvl w:ilvl="1">
      <w:lvlJc w:val="left"/>
      <w:lvlText w:val="%2."/>
      <w:numFmt w:val="lowerLetter"/>
      <w:start w:val="1"/>
    </w:lvl>
  </w:abstractNum>
  <w:abstractNum w:abstractNumId="227">
    <w:nsid w:val="7F65FD16"/>
    <w:multiLevelType w:val="hybridMultilevel"/>
    <w:lvl w:ilvl="0">
      <w:lvlJc w:val="left"/>
      <w:lvlText w:val="%1."/>
      <w:numFmt w:val="decimal"/>
      <w:start w:val="9"/>
    </w:lvl>
  </w:abstractNum>
  <w:abstractNum w:abstractNumId="228">
    <w:nsid w:val="77C9FD68"/>
    <w:multiLevelType w:val="hybridMultilevel"/>
    <w:lvl w:ilvl="0">
      <w:lvlJc w:val="left"/>
      <w:lvlText w:val="%1."/>
      <w:numFmt w:val="decimal"/>
      <w:start w:val="13"/>
    </w:lvl>
    <w:lvl w:ilvl="1">
      <w:lvlJc w:val="left"/>
      <w:lvlText w:val="(%2)"/>
      <w:numFmt w:val="lowerRoman"/>
    </w:lvl>
    <w:lvl w:ilvl="2">
      <w:lvlJc w:val="left"/>
      <w:lvlText w:val="%3"/>
      <w:numFmt w:val="lowerLetter"/>
      <w:start w:val="1"/>
    </w:lvl>
    <w:lvl w:ilvl="3">
      <w:lvlJc w:val="left"/>
      <w:lvlText w:val="%4."/>
      <w:numFmt w:val="lowerRoman"/>
      <w:start w:val="1"/>
    </w:lvl>
  </w:abstractNum>
  <w:abstractNum w:abstractNumId="229">
    <w:nsid w:val="298A92BA"/>
    <w:multiLevelType w:val="hybridMultilevel"/>
    <w:lvl w:ilvl="0">
      <w:lvlJc w:val="left"/>
      <w:lvlText w:val="%1"/>
      <w:numFmt w:val="lowerLetter"/>
      <w:start w:val="1"/>
    </w:lvl>
    <w:lvl w:ilvl="1">
      <w:lvlJc w:val="left"/>
      <w:lvlText w:val="%2."/>
      <w:numFmt w:val="lowerLetter"/>
      <w:start w:val="61"/>
    </w:lvl>
  </w:abstractNum>
  <w:abstractNum w:abstractNumId="230">
    <w:nsid w:val="6FE95EAC"/>
    <w:multiLevelType w:val="hybridMultilevel"/>
    <w:lvl w:ilvl="0">
      <w:lvlJc w:val="left"/>
      <w:lvlText w:val="%1."/>
      <w:numFmt w:val="lowerLetter"/>
      <w:start w:val="2"/>
    </w:lvl>
    <w:lvl w:ilvl="1">
      <w:lvlJc w:val="left"/>
      <w:lvlText w:val="%2"/>
      <w:numFmt w:val="lowerLetter"/>
      <w:start w:val="1"/>
    </w:lvl>
  </w:abstractNum>
  <w:abstractNum w:abstractNumId="231">
    <w:nsid w:val="4B697C7A"/>
    <w:multiLevelType w:val="hybridMultilevel"/>
    <w:lvl w:ilvl="0">
      <w:lvlJc w:val="left"/>
      <w:lvlText w:val="%1."/>
      <w:numFmt w:val="lowerLetter"/>
      <w:start w:val="3"/>
    </w:lvl>
  </w:abstractNum>
  <w:abstractNum w:abstractNumId="232">
    <w:nsid w:val="51A27AA6"/>
    <w:multiLevelType w:val="hybridMultilevel"/>
    <w:lvl w:ilvl="0">
      <w:lvlJc w:val="left"/>
      <w:lvlText w:val="%1."/>
      <w:numFmt w:val="lowerRoman"/>
      <w:start w:val="2"/>
    </w:lvl>
  </w:abstractNum>
  <w:abstractNum w:abstractNumId="233">
    <w:nsid w:val="613183F2"/>
    <w:multiLevelType w:val="hybridMultilevel"/>
    <w:lvl w:ilvl="0">
      <w:lvlJc w:val="left"/>
      <w:lvlText w:val="%1."/>
      <w:numFmt w:val="decimal"/>
      <w:start w:val="1"/>
    </w:lvl>
  </w:abstractNum>
  <w:abstractNum w:abstractNumId="234">
    <w:nsid w:val="634102B4"/>
    <w:multiLevelType w:val="hybridMultilevel"/>
    <w:lvl w:ilvl="0">
      <w:lvlJc w:val="left"/>
      <w:lvlText w:val="%1."/>
      <w:numFmt w:val="decimal"/>
      <w:start w:val="3"/>
    </w:lvl>
  </w:abstractNum>
  <w:abstractNum w:abstractNumId="235">
    <w:nsid w:val="65BF9DA8"/>
    <w:multiLevelType w:val="hybridMultilevel"/>
    <w:lvl w:ilvl="0">
      <w:lvlJc w:val="left"/>
      <w:lvlText w:val="%1."/>
      <w:numFmt w:val="decimal"/>
      <w:start w:val="1"/>
    </w:lvl>
  </w:abstractNum>
  <w:abstractNum w:abstractNumId="236">
    <w:nsid w:val="21A2ECCA"/>
    <w:multiLevelType w:val="hybridMultilevel"/>
    <w:lvl w:ilvl="0">
      <w:lvlJc w:val="left"/>
      <w:lvlText w:val="%1."/>
      <w:numFmt w:val="decimal"/>
      <w:start w:val="2"/>
    </w:lvl>
  </w:abstractNum>
  <w:abstractNum w:abstractNumId="237">
    <w:nsid w:val="4D5C4899"/>
    <w:multiLevelType w:val="hybridMultilevel"/>
    <w:lvl w:ilvl="0">
      <w:lvlJc w:val="left"/>
      <w:lvlText w:val="%1."/>
      <w:numFmt w:val="decimal"/>
      <w:start w:val="1"/>
    </w:lvl>
  </w:abstractNum>
  <w:abstractNum w:abstractNumId="238">
    <w:nsid w:val="3C3B72B2"/>
    <w:multiLevelType w:val="hybridMultilevel"/>
    <w:lvl w:ilvl="0">
      <w:lvlJc w:val="left"/>
      <w:lvlText w:val="%1."/>
      <w:numFmt w:val="decimal"/>
      <w:start w:val="8"/>
    </w:lvl>
  </w:abstractNum>
  <w:abstractNum w:abstractNumId="239">
    <w:nsid w:val="155EC4C2"/>
    <w:multiLevelType w:val="hybridMultilevel"/>
    <w:lvl w:ilvl="0">
      <w:lvlJc w:val="left"/>
      <w:lvlText w:val="%1."/>
      <w:numFmt w:val="decimal"/>
      <w:start w:val="1"/>
    </w:lvl>
  </w:abstractNum>
  <w:abstractNum w:abstractNumId="240">
    <w:nsid w:val="65D2A137"/>
    <w:multiLevelType w:val="hybridMultilevel"/>
    <w:lvl w:ilvl="0">
      <w:lvlJc w:val="left"/>
      <w:lvlText w:val="%1."/>
      <w:numFmt w:val="decimal"/>
      <w:start w:val="1"/>
    </w:lvl>
  </w:abstractNum>
  <w:abstractNum w:abstractNumId="241">
    <w:nsid w:val="6EBB1F2A"/>
    <w:multiLevelType w:val="hybridMultilevel"/>
    <w:lvl w:ilvl="0">
      <w:lvlJc w:val="left"/>
      <w:lvlText w:val="%1."/>
      <w:numFmt w:val="decimal"/>
      <w:start w:val="1"/>
    </w:lvl>
    <w:lvl w:ilvl="1">
      <w:lvlJc w:val="left"/>
      <w:lvlText w:val="*"/>
      <w:numFmt w:val="bullet"/>
      <w:start w:val="1"/>
    </w:lvl>
  </w:abstractNum>
  <w:abstractNum w:abstractNumId="242">
    <w:nsid w:val="6FBF29CB"/>
    <w:multiLevelType w:val="hybridMultilevel"/>
    <w:lvl w:ilvl="0">
      <w:lvlJc w:val="left"/>
      <w:lvlText w:val="%1."/>
      <w:numFmt w:val="decimal"/>
      <w:start w:val="1"/>
    </w:lvl>
  </w:abstractNum>
  <w:abstractNum w:abstractNumId="243">
    <w:nsid w:val="550B8808"/>
    <w:multiLevelType w:val="hybridMultilevel"/>
    <w:lvl w:ilvl="0">
      <w:lvlJc w:val="left"/>
      <w:lvlText w:val="(%1)"/>
      <w:numFmt w:val="lowerLetter"/>
      <w:start w:val="1"/>
    </w:lvl>
  </w:abstractNum>
  <w:abstractNum w:abstractNumId="244">
    <w:nsid w:val="34CC3ACF"/>
    <w:multiLevelType w:val="hybridMultilevel"/>
    <w:lvl w:ilvl="0">
      <w:lvlJc w:val="left"/>
      <w:lvlText w:val="(%1)"/>
      <w:numFmt w:val="lowerLetter"/>
      <w:start w:val="1"/>
    </w:lvl>
  </w:abstractNum>
  <w:abstractNum w:abstractNumId="245">
    <w:nsid w:val="4E556261"/>
    <w:multiLevelType w:val="hybridMultilevel"/>
    <w:lvl w:ilvl="0">
      <w:lvlJc w:val="left"/>
      <w:lvlText w:val="(%1)"/>
      <w:numFmt w:val="lowerLetter"/>
      <w:start w:val="4"/>
    </w:lvl>
    <w:lvl w:ilvl="1">
      <w:lvlJc w:val="left"/>
      <w:lvlText w:val="%2."/>
      <w:numFmt w:val="lowerRoman"/>
      <w:start w:val="1"/>
    </w:lvl>
  </w:abstractNum>
  <w:abstractNum w:abstractNumId="246">
    <w:nsid w:val="4C672FC9"/>
    <w:multiLevelType w:val="hybridMultilevel"/>
    <w:lvl w:ilvl="0">
      <w:lvlJc w:val="left"/>
      <w:lvlText w:val="1"/>
      <w:numFmt w:val="bullet"/>
      <w:start w:val="1"/>
    </w:lvl>
  </w:abstractNum>
  <w:abstractNum w:abstractNumId="247">
    <w:nsid w:val="52A311C3"/>
    <w:multiLevelType w:val="hybridMultilevel"/>
    <w:lvl w:ilvl="0">
      <w:lvlJc w:val="left"/>
      <w:lvlText w:val="2"/>
      <w:numFmt w:val="bullet"/>
      <w:start w:val="1"/>
    </w:lvl>
  </w:abstractNum>
  <w:abstractNum w:abstractNumId="248">
    <w:nsid w:val="44EF6B80"/>
    <w:multiLevelType w:val="hybridMultilevel"/>
    <w:lvl w:ilvl="0">
      <w:lvlJc w:val="left"/>
      <w:lvlText w:val="%1"/>
      <w:numFmt w:val="decimal"/>
      <w:start w:val="1"/>
    </w:lvl>
    <w:lvl w:ilvl="1">
      <w:lvlJc w:val="left"/>
      <w:lvlText w:val="%2."/>
      <w:numFmt w:val="lowerRoman"/>
      <w:start w:val="3"/>
    </w:lvl>
  </w:abstractNum>
  <w:abstractNum w:abstractNumId="249">
    <w:nsid w:val="12FCDE5E"/>
    <w:multiLevelType w:val="hybridMultilevel"/>
    <w:lvl w:ilvl="0">
      <w:lvlJc w:val="left"/>
      <w:lvlText w:val="%1."/>
      <w:numFmt w:val="decimal"/>
      <w:start w:val="3"/>
    </w:lvl>
    <w:lvl w:ilvl="1">
      <w:lvlJc w:val="left"/>
      <w:lvlText w:val="%2"/>
      <w:numFmt w:val="lowerRoman"/>
      <w:start w:val="1"/>
    </w:lvl>
  </w:abstractNum>
  <w:abstractNum w:abstractNumId="250">
    <w:nsid w:val="4A1D606E"/>
    <w:multiLevelType w:val="hybridMultilevel"/>
    <w:lvl w:ilvl="0">
      <w:lvlJc w:val="left"/>
      <w:lvlText w:val="(%1)"/>
      <w:numFmt w:val="lowerLetter"/>
      <w:start w:val="1"/>
    </w:lvl>
    <w:lvl w:ilvl="1">
      <w:lvlJc w:val="left"/>
      <w:lvlText w:val="%2."/>
      <w:numFmt w:val="lowerRoman"/>
      <w:start w:val="1"/>
    </w:lvl>
  </w:abstractNum>
  <w:abstractNum w:abstractNumId="251">
    <w:nsid w:val="4382503"/>
    <w:multiLevelType w:val="hybridMultilevel"/>
    <w:lvl w:ilvl="0">
      <w:lvlJc w:val="left"/>
      <w:lvlText w:val="%1."/>
      <w:numFmt w:val="decimal"/>
      <w:start w:val="4"/>
    </w:lvl>
  </w:abstractNum>
  <w:abstractNum w:abstractNumId="252">
    <w:nsid w:val="59B76E28"/>
    <w:multiLevelType w:val="hybridMultilevel"/>
    <w:lvl w:ilvl="0">
      <w:lvlJc w:val="left"/>
      <w:lvlText w:val="(%1)"/>
      <w:numFmt w:val="lowerLetter"/>
      <w:start w:val="1"/>
    </w:lvl>
    <w:lvl w:ilvl="1">
      <w:lvlJc w:val="left"/>
      <w:lvlText w:val="%2."/>
      <w:numFmt w:val="lowerRoman"/>
      <w:start w:val="1"/>
    </w:lvl>
  </w:abstractNum>
  <w:abstractNum w:abstractNumId="253">
    <w:nsid w:val="4252C2DA"/>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254">
    <w:nsid w:val="6A92EF4C"/>
    <w:multiLevelType w:val="hybridMultilevel"/>
    <w:lvl w:ilvl="0">
      <w:lvlJc w:val="left"/>
      <w:lvlText w:val="(%1)"/>
      <w:numFmt w:val="lowerLetter"/>
      <w:start w:val="8"/>
    </w:lvl>
  </w:abstractNum>
  <w:abstractNum w:abstractNumId="255">
    <w:nsid w:val="41ED20D7"/>
    <w:multiLevelType w:val="hybridMultilevel"/>
    <w:lvl w:ilvl="0">
      <w:lvlJc w:val="left"/>
      <w:lvlText w:val="%1."/>
      <w:numFmt w:val="decimal"/>
      <w:start w:val="5"/>
    </w:lvl>
  </w:abstractNum>
  <w:abstractNum w:abstractNumId="256">
    <w:nsid w:val="E6B3F6A"/>
    <w:multiLevelType w:val="hybridMultilevel"/>
    <w:lvl w:ilvl="0">
      <w:lvlJc w:val="left"/>
      <w:lvlText w:val="(%1)"/>
      <w:numFmt w:val="lowerLetter"/>
      <w:start w:val="1"/>
    </w:lvl>
    <w:lvl w:ilvl="1">
      <w:lvlJc w:val="left"/>
      <w:lvlText w:val="%2."/>
      <w:numFmt w:val="lowerRoman"/>
      <w:start w:val="1"/>
    </w:lvl>
  </w:abstractNum>
  <w:abstractNum w:abstractNumId="257">
    <w:nsid w:val="3EB21819"/>
    <w:multiLevelType w:val="hybridMultilevel"/>
    <w:lvl w:ilvl="0">
      <w:lvlJc w:val="left"/>
      <w:lvlText w:val="(%1)"/>
      <w:numFmt w:val="lowerLetter"/>
      <w:start w:val="6"/>
    </w:lvl>
    <w:lvl w:ilvl="1">
      <w:lvlJc w:val="left"/>
      <w:lvlText w:val="%2."/>
      <w:numFmt w:val="lowerRoman"/>
      <w:start w:val="1"/>
    </w:lvl>
  </w:abstractNum>
  <w:abstractNum w:abstractNumId="258">
    <w:nsid w:val="41531DED"/>
    <w:multiLevelType w:val="hybridMultilevel"/>
    <w:lvl w:ilvl="0">
      <w:lvlJc w:val="left"/>
      <w:lvlText w:val="(%1)"/>
      <w:numFmt w:val="lowerLetter"/>
      <w:start w:val="8"/>
    </w:lvl>
  </w:abstractNum>
  <w:abstractNum w:abstractNumId="259">
    <w:nsid w:val="6353CD2"/>
    <w:multiLevelType w:val="hybridMultilevel"/>
    <w:lvl w:ilvl="0">
      <w:lvlJc w:val="left"/>
      <w:lvlText w:val="(%1)"/>
      <w:numFmt w:val="lowerLetter"/>
      <w:start w:val="1"/>
    </w:lvl>
    <w:lvl w:ilvl="1">
      <w:lvlJc w:val="left"/>
      <w:lvlText w:val="%2."/>
      <w:numFmt w:val="lowerRoman"/>
      <w:start w:val="1"/>
    </w:lvl>
  </w:abstractNum>
  <w:abstractNum w:abstractNumId="260">
    <w:nsid w:val="683CAAD3"/>
    <w:multiLevelType w:val="hybridMultilevel"/>
    <w:lvl w:ilvl="0">
      <w:lvlJc w:val="left"/>
      <w:lvlText w:val="%1."/>
      <w:numFmt w:val="lowerRoman"/>
      <w:start w:val="3"/>
    </w:lvl>
  </w:abstractNum>
  <w:abstractNum w:abstractNumId="261">
    <w:nsid w:val="313C7C99"/>
    <w:multiLevelType w:val="hybridMultilevel"/>
    <w:lvl w:ilvl="0">
      <w:lvlJc w:val="left"/>
      <w:lvlText w:val="(%1)"/>
      <w:numFmt w:val="lowerLetter"/>
      <w:start w:val="3"/>
    </w:lvl>
    <w:lvl w:ilvl="1">
      <w:lvlJc w:val="left"/>
      <w:lvlText w:val="%2."/>
      <w:numFmt w:val="lowerRoman"/>
      <w:start w:val="1"/>
    </w:lvl>
  </w:abstractNum>
  <w:abstractNum w:abstractNumId="262">
    <w:nsid w:val="519EB94C"/>
    <w:multiLevelType w:val="hybridMultilevel"/>
    <w:lvl w:ilvl="0">
      <w:lvlJc w:val="left"/>
      <w:lvlText w:val="(%1)"/>
      <w:numFmt w:val="lowerLetter"/>
      <w:start w:val="4"/>
    </w:lvl>
  </w:abstractNum>
  <w:abstractNum w:abstractNumId="263">
    <w:nsid w:val="39DF2579"/>
    <w:multiLevelType w:val="hybridMultilevel"/>
    <w:lvl w:ilvl="0">
      <w:lvlJc w:val="left"/>
      <w:lvlText w:val="(%1)"/>
      <w:numFmt w:val="lowerLetter"/>
      <w:start w:val="1"/>
    </w:lvl>
    <w:lvl w:ilvl="1">
      <w:lvlJc w:val="left"/>
      <w:lvlText w:val="%2."/>
      <w:numFmt w:val="lowerRoman"/>
      <w:start w:val="1"/>
    </w:lvl>
  </w:abstractNum>
  <w:abstractNum w:abstractNumId="264">
    <w:nsid w:val="126E008B"/>
    <w:multiLevelType w:val="hybridMultilevel"/>
    <w:lvl w:ilvl="0">
      <w:lvlJc w:val="left"/>
      <w:lvlText w:val="%1"/>
      <w:numFmt w:val="lowerLetter"/>
      <w:start w:val="1"/>
    </w:lvl>
    <w:lvl w:ilvl="1">
      <w:lvlJc w:val="left"/>
      <w:lvlText w:val="%2."/>
      <w:numFmt w:val="lowerRoman"/>
      <w:start w:val="2"/>
    </w:lvl>
  </w:abstractNum>
  <w:abstractNum w:abstractNumId="265">
    <w:nsid w:val="34DFBC00"/>
    <w:multiLevelType w:val="hybridMultilevel"/>
    <w:lvl w:ilvl="0">
      <w:lvlJc w:val="left"/>
      <w:lvlText w:val="(%1)"/>
      <w:numFmt w:val="lowerLetter"/>
      <w:start w:val="4"/>
    </w:lvl>
    <w:lvl w:ilvl="1">
      <w:lvlJc w:val="left"/>
      <w:lvlText w:val="%2"/>
      <w:numFmt w:val="lowerRoman"/>
      <w:start w:val="1"/>
    </w:lvl>
  </w:abstractNum>
  <w:abstractNum w:abstractNumId="266">
    <w:nsid w:val="1F9EC322"/>
    <w:multiLevelType w:val="hybridMultilevel"/>
    <w:lvl w:ilvl="0">
      <w:lvlJc w:val="left"/>
      <w:lvlText w:val="(%1)"/>
      <w:numFmt w:val="lowerLetter"/>
      <w:start w:val="1"/>
    </w:lvl>
  </w:abstractNum>
  <w:abstractNum w:abstractNumId="267">
    <w:nsid w:val="3410ED56"/>
    <w:multiLevelType w:val="hybridMultilevel"/>
    <w:lvl w:ilvl="0">
      <w:lvlJc w:val="left"/>
      <w:lvlText w:val="(%1)"/>
      <w:numFmt w:val="lowerLetter"/>
      <w:start w:val="2"/>
    </w:lvl>
    <w:lvl w:ilvl="1">
      <w:lvlJc w:val="left"/>
      <w:lvlText w:val="%2."/>
      <w:numFmt w:val="lowerRoman"/>
      <w:start w:val="1"/>
    </w:lvl>
  </w:abstractNum>
  <w:abstractNum w:abstractNumId="268">
    <w:nsid w:val="23C049A"/>
    <w:multiLevelType w:val="hybridMultilevel"/>
    <w:lvl w:ilvl="0">
      <w:lvlJc w:val="left"/>
      <w:lvlText w:val="(%1)"/>
      <w:numFmt w:val="lowerLetter"/>
      <w:start w:val="5"/>
    </w:lvl>
  </w:abstractNum>
  <w:abstractNum w:abstractNumId="269">
    <w:nsid w:val="5BDA35D4"/>
    <w:multiLevelType w:val="hybridMultilevel"/>
    <w:lvl w:ilvl="0">
      <w:lvlJc w:val="left"/>
      <w:lvlText w:val="%1"/>
      <w:numFmt w:val="lowerLetter"/>
      <w:start w:val="1"/>
    </w:lvl>
    <w:lvl w:ilvl="1">
      <w:lvlJc w:val="left"/>
      <w:lvlText w:val="(%2)"/>
      <w:numFmt w:val="lowerLetter"/>
      <w:start w:val="1"/>
    </w:lvl>
  </w:abstractNum>
  <w:abstractNum w:abstractNumId="270">
    <w:nsid w:val="496FB218"/>
    <w:multiLevelType w:val="hybridMultilevel"/>
    <w:lvl w:ilvl="0">
      <w:lvlJc w:val="left"/>
      <w:lvlText w:val="(%1)"/>
      <w:numFmt w:val="lowerLetter"/>
      <w:start w:val="9"/>
    </w:lvl>
    <w:lvl w:ilvl="1">
      <w:lvlJc w:val="left"/>
      <w:lvlText w:val="%2"/>
      <w:numFmt w:val="lowerLetter"/>
      <w:start w:val="1"/>
    </w:lvl>
  </w:abstractNum>
  <w:abstractNum w:abstractNumId="271">
    <w:nsid w:val="680EA5D1"/>
    <w:multiLevelType w:val="hybridMultilevel"/>
    <w:lvl w:ilvl="0">
      <w:lvlJc w:val="left"/>
      <w:lvlText w:val="(%1)"/>
      <w:numFmt w:val="lowerLetter"/>
      <w:start w:val="4"/>
    </w:lvl>
  </w:abstractNum>
  <w:abstractNum w:abstractNumId="272">
    <w:nsid w:val="4A9554FE"/>
    <w:multiLevelType w:val="hybridMultilevel"/>
    <w:lvl w:ilvl="0">
      <w:lvlJc w:val="left"/>
      <w:lvlText w:val="(%1)"/>
      <w:numFmt w:val="lowerLetter"/>
      <w:start w:val="1"/>
    </w:lvl>
  </w:abstractNum>
  <w:abstractNum w:abstractNumId="273">
    <w:nsid w:val="392EDBE4"/>
    <w:multiLevelType w:val="hybridMultilevel"/>
    <w:lvl w:ilvl="0">
      <w:lvlJc w:val="left"/>
      <w:lvlText w:val="(%1)"/>
      <w:numFmt w:val="lowerLetter"/>
      <w:start w:val="8"/>
    </w:lvl>
  </w:abstractNum>
  <w:abstractNum w:abstractNumId="274">
    <w:nsid w:val="3D1A2DD9"/>
    <w:multiLevelType w:val="hybridMultilevel"/>
    <w:lvl w:ilvl="0">
      <w:lvlJc w:val="left"/>
      <w:lvlText w:val="(%1)"/>
      <w:numFmt w:val="lowerLetter"/>
      <w:start w:val="14"/>
    </w:lvl>
  </w:abstractNum>
  <w:abstractNum w:abstractNumId="275">
    <w:nsid w:val="7F618FCD"/>
    <w:multiLevelType w:val="hybridMultilevel"/>
    <w:lvl w:ilvl="0">
      <w:lvlJc w:val="left"/>
      <w:lvlText w:val="%1."/>
      <w:numFmt w:val="decimal"/>
      <w:start w:val="11"/>
    </w:lvl>
  </w:abstractNum>
  <w:abstractNum w:abstractNumId="276">
    <w:nsid w:val="7843E45"/>
    <w:multiLevelType w:val="hybridMultilevel"/>
    <w:lvl w:ilvl="0">
      <w:lvlJc w:val="left"/>
      <w:lvlText w:val="(%1)"/>
      <w:numFmt w:val="lowerLetter"/>
      <w:start w:val="1"/>
    </w:lvl>
  </w:abstractNum>
  <w:abstractNum w:abstractNumId="277">
    <w:nsid w:val="9815DA3"/>
    <w:multiLevelType w:val="hybridMultilevel"/>
    <w:lvl w:ilvl="0">
      <w:lvlJc w:val="left"/>
      <w:lvlText w:val="%1."/>
      <w:numFmt w:val="decimal"/>
      <w:start w:val="14"/>
    </w:lvl>
  </w:abstractNum>
  <w:abstractNum w:abstractNumId="278">
    <w:nsid w:val="5204A191"/>
    <w:multiLevelType w:val="hybridMultilevel"/>
    <w:lvl w:ilvl="0">
      <w:lvlJc w:val="left"/>
      <w:lvlText w:val="(%1)"/>
      <w:numFmt w:val="lowerLetter"/>
      <w:start w:val="2"/>
    </w:lvl>
  </w:abstractNum>
  <w:abstractNum w:abstractNumId="279">
    <w:nsid w:val="4C73A9C6"/>
    <w:multiLevelType w:val="hybridMultilevel"/>
    <w:lvl w:ilvl="0">
      <w:lvlJc w:val="left"/>
      <w:lvlText w:val="(%1)"/>
      <w:numFmt w:val="lowerLetter"/>
      <w:start w:val="4"/>
    </w:lvl>
  </w:abstractNum>
  <w:abstractNum w:abstractNumId="280">
    <w:nsid w:val="1C7E3C01"/>
    <w:multiLevelType w:val="hybridMultilevel"/>
    <w:lvl w:ilvl="0">
      <w:lvlJc w:val="left"/>
      <w:lvlText w:val="(%1)"/>
      <w:numFmt w:val="lowerLetter"/>
      <w:start w:val="15"/>
    </w:lvl>
    <w:lvl w:ilvl="1">
      <w:lvlJc w:val="left"/>
      <w:lvlText w:val="%2."/>
      <w:numFmt w:val="lowerRoman"/>
      <w:start w:val="1"/>
    </w:lvl>
  </w:abstractNum>
  <w:abstractNum w:abstractNumId="281">
    <w:nsid w:val="1C2201FF"/>
    <w:multiLevelType w:val="hybridMultilevel"/>
    <w:lvl w:ilvl="0">
      <w:lvlJc w:val="left"/>
      <w:lvlText w:val="(%1)"/>
      <w:numFmt w:val="lowerLetter"/>
      <w:start w:val="22"/>
    </w:lvl>
    <w:lvl w:ilvl="1">
      <w:lvlJc w:val="left"/>
      <w:lvlText w:val="%2."/>
      <w:numFmt w:val="lowerRoman"/>
      <w:start w:val="1"/>
    </w:lvl>
  </w:abstractNum>
  <w:abstractNum w:abstractNumId="282">
    <w:nsid w:val="50ABCEC9"/>
    <w:multiLevelType w:val="hybridMultilevel"/>
    <w:lvl w:ilvl="0">
      <w:lvlJc w:val="left"/>
      <w:lvlText w:val="(%1)"/>
      <w:numFmt w:val="lowerLetter"/>
      <w:start w:val="27"/>
    </w:lvl>
  </w:abstractNum>
  <w:abstractNum w:abstractNumId="283">
    <w:nsid w:val="7635AA2A"/>
    <w:multiLevelType w:val="hybridMultilevel"/>
    <w:lvl w:ilvl="0">
      <w:lvlJc w:val="left"/>
      <w:lvlText w:val="(%1)"/>
      <w:numFmt w:val="lowerLetter"/>
      <w:start w:val="31"/>
    </w:lvl>
  </w:abstractNum>
  <w:abstractNum w:abstractNumId="284">
    <w:nsid w:val="5E74C4D9"/>
    <w:multiLevelType w:val="hybridMultilevel"/>
    <w:lvl w:ilvl="0">
      <w:lvlJc w:val="left"/>
      <w:lvlText w:val="(%1)"/>
      <w:numFmt w:val="lowerLetter"/>
      <w:start w:val="43"/>
    </w:lvl>
  </w:abstractNum>
  <w:abstractNum w:abstractNumId="285">
    <w:nsid w:val="3B3EBE15"/>
    <w:multiLevelType w:val="hybridMultilevel"/>
    <w:lvl w:ilvl="0">
      <w:lvlJc w:val="left"/>
      <w:lvlText w:val="(%1)"/>
      <w:numFmt w:val="lowerLetter"/>
      <w:start w:val="51"/>
    </w:lvl>
  </w:abstractNum>
  <w:abstractNum w:abstractNumId="286">
    <w:nsid w:val="3822CB01"/>
    <w:multiLevelType w:val="hybridMultilevel"/>
    <w:lvl w:ilvl="0">
      <w:lvlJc w:val="left"/>
      <w:lvlText w:val="(%1)"/>
      <w:numFmt w:val="lowerLetter"/>
      <w:start w:val="53"/>
    </w:lvl>
  </w:abstractNum>
  <w:abstractNum w:abstractNumId="287">
    <w:nsid w:val="6CE00443"/>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88">
    <w:nsid w:val="79F0D62F"/>
    <w:multiLevelType w:val="hybridMultilevel"/>
    <w:lvl w:ilvl="0">
      <w:lvlJc w:val="left"/>
      <w:lvlText w:val="§"/>
      <w:numFmt w:val="bullet"/>
      <w:start w:val="1"/>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289">
    <w:nsid w:val="7975E8EE"/>
    <w:multiLevelType w:val="hybridMultilevel"/>
    <w:lvl w:ilvl="0">
      <w:lvlJc w:val="left"/>
      <w:lvlText w:val="(%1)"/>
      <w:numFmt w:val="lowerLetter"/>
      <w:start w:val="4"/>
    </w:lvl>
    <w:lvl w:ilvl="1">
      <w:lvlJc w:val="left"/>
      <w:lvlText w:val="(%2)"/>
      <w:numFmt w:val="decimal"/>
      <w:start w:val="1"/>
    </w:lvl>
  </w:abstractNum>
  <w:abstractNum w:abstractNumId="290">
    <w:nsid w:val="73154115"/>
    <w:multiLevelType w:val="hybridMultilevel"/>
    <w:lvl w:ilvl="0">
      <w:lvlJc w:val="left"/>
      <w:lvlText w:val="(%1)"/>
      <w:numFmt w:val="lowerLetter"/>
      <w:start w:val="6"/>
    </w:lvl>
  </w:abstractNum>
  <w:abstractNum w:abstractNumId="291">
    <w:nsid w:val="622D8102"/>
    <w:multiLevelType w:val="hybridMultilevel"/>
    <w:lvl w:ilvl="0">
      <w:lvlJc w:val="left"/>
      <w:lvlText w:val="%1"/>
      <w:numFmt w:val="lowerLetter"/>
      <w:start w:val="1"/>
    </w:lvl>
    <w:lvl w:ilvl="1">
      <w:lvlJc w:val="left"/>
      <w:lvlText w:val="(%2)"/>
      <w:numFmt w:val="lowerLetter"/>
      <w:start w:val="9"/>
    </w:lvl>
  </w:abstractNum>
  <w:abstractNum w:abstractNumId="292">
    <w:nsid w:val="2AB26587"/>
    <w:multiLevelType w:val="hybridMultilevel"/>
    <w:lvl w:ilvl="0">
      <w:lvlJc w:val="left"/>
      <w:lvlText w:val="(%1)"/>
      <w:numFmt w:val="lowerLetter"/>
      <w:start w:val="4"/>
    </w:lvl>
    <w:lvl w:ilvl="1">
      <w:lvlJc w:val="left"/>
      <w:lvlText w:val="(%2)"/>
      <w:numFmt w:val="lowerLetter"/>
      <w:start w:val="12"/>
    </w:lvl>
  </w:abstractNum>
  <w:abstractNum w:abstractNumId="293">
    <w:nsid w:val="44B3FA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2022-09-30T13:38:24Z</dcterms:created>
  <dcterms:modified xsi:type="dcterms:W3CDTF">2022-09-30T13:38:24Z</dcterms:modified>
</cp:coreProperties>
</file>