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Cooper Kenneth Lyle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w:t>
            </w:r>
            <w:r>
              <w:rPr>
                <w:rFonts w:ascii="Times;serif" w:hAnsi="Times;serif"/>
                <w:color w:val="008000"/>
                <w:position w:val="7"/>
                <w:sz w:val="16"/>
                <w:sz w:val="20"/>
                <w:shd w:fill="FFFFFF" w:val="clear"/>
              </w:rPr>
              <w:t>(2)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27, 2026, the issuer granted the reporting person 9,868 restricted stock units ("RSUs") under the Z Squared, Inc. 2025 Incentive Compensation Plan as the Initial RSU Grant under the reporting person's Independent Director Agreement with the issuer, dated as of June 4, 2025, and the issuer's Non-Employee Director Compensation Program. The grant of the RSUs was previously reported on the reporting person's Form 4 filed on April 30, 2026. Each RSU represents a contingent right to receive one share of common stock upon vesting and has no expiration date. The RSUs vest in 36 substantially equal monthly installments of approximately 274 RSUs on the 27th day of each month commencing May 27, 2026, subject to the reporting person's continued service as a director of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monthly vesting installments of the RSUs described in footnote 1, which vested on the transaction dates reported.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shares of common stock reported in Table I as acquired upon settlement of restricted stock units were issued under the issuer's registration statement on Form S-8 filed with the Securities and Exchange Commission on August 21,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Cooper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618"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868</Words>
  <Characters>4548</Characters>
  <CharactersWithSpaces>5254</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