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Cogley Brian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 SQUARED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 SOUTH ANDREWS AVENUE, 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LAUDERDALE,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 Squared Inc.</w:t>
              </w:r>
            </w:hyperlink>
            <w:r>
              <w:rPr/>
              <w:t xml:space="preserve"> [ </w:t>
            </w:r>
            <w:r>
              <w:rPr>
                <w:rFonts w:ascii="Times;serif" w:hAnsi="Times;serif"/>
                <w:color w:val="0000FF"/>
                <w:sz w:val="24"/>
                <w:shd w:fill="FFFFFF" w:val="clear"/>
              </w:rPr>
              <w:t>ZSQR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4,112</w:t>
            </w:r>
            <w:r>
              <w:rPr>
                <w:rFonts w:ascii="Times;serif" w:hAnsi="Times;serif"/>
                <w:color w:val="008000"/>
                <w:position w:val="7"/>
                <w:sz w:val="16"/>
                <w:sz w:val="20"/>
                <w:shd w:fill="FFFFFF" w:val="clear"/>
              </w:rPr>
              <w:t>(2)</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26,612</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4,112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4,112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12,335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April 27, 2026, pursuant to Section 3(b) of the reporting person's Amended and Restated Executive Employment Agreement with the issuer, the issuer granted the reporting person 16,447 restricted stock units ("RSUs") under the Z Squared, Inc. 2025 Incentive Compensation Plan, representing an annual bonus award. The number of RSUs was determined by dividing $250,000 by the April 27, 2026 closing price per share on the Nasdaq Global Market ($15.20), rounded down to the nearest whole share. The grant of the RSUs was previously reported on the reporting person's Form 4 filed on April 30, 2026. Each RSU represents a contingent right to receive one share of common stock upon vesting and has no expiration date. The RSUs vest in four substantially equal quarterly installments (4,112 RSUs on each of July 27, 2026, October 27, 2026 and January 27, 2027, and 4,111 RSUs on April 27, 2027), subject to the reporting person's continued employment with the issuer on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first quarterly vesting of the RSUs described in footnote 1, which vested on July 27,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shares of common stock reported in Table I as acquired upon settlement of restricted stock units were issued under the issuer's registration statement on Form S-8 filed with the Securities and Exchange Commission on August 21,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Brian Cogley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8384" TargetMode="External"/><Relationship Id="rId5" Type="http://schemas.openxmlformats.org/officeDocument/2006/relationships/hyperlink" Target="http://www.sec.gov/cgi-bin/browse-edgar?action=getcompany&amp;CIK=00017591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803</Words>
  <Characters>4275</Characters>
  <CharactersWithSpaces>4995</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