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Harris Jeffery Keeslar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 SQUARED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SOUTH ANDREWS AVENUE,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LAUDERDALE,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 Squared Inc.</w:t>
              </w:r>
            </w:hyperlink>
            <w:r>
              <w:rPr/>
              <w:t xml:space="preserve"> [ </w:t>
            </w:r>
            <w:r>
              <w:rPr>
                <w:rFonts w:ascii="Times;serif" w:hAnsi="Times;serif"/>
                <w:color w:val="0000FF"/>
                <w:sz w:val="24"/>
                <w:shd w:fill="FFFFFF" w:val="clear"/>
              </w:rPr>
              <w:t>ZSQR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12,444</w:t>
            </w:r>
            <w:r>
              <w:rPr>
                <w:rFonts w:ascii="Times;serif" w:hAnsi="Times;serif"/>
                <w:color w:val="008000"/>
                <w:position w:val="7"/>
                <w:sz w:val="16"/>
                <w:sz w:val="20"/>
                <w:shd w:fill="FFFFFF" w:val="clear"/>
              </w:rPr>
              <w:t>(2)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12,444</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12,444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37,334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24, 2026, pursuant to Amendment No. 1 to the reporting person's Executive Employment Agreement with the issuer, the issuer granted the reporting person 49,778 restricted stock units ("RSUs") under the Z Squared, Inc. 2025 Incentive Compensation Plan. The grant of the RSUs was previously reported on the reporting person's Form 4 filed on August 24, 2026. Each RSU represents a contingent right to receive one share of common stock upon vesting and has no expiration date. The RSUs vest in four equal quarterly installments on each of September 24, 2026, December 24, 2026, March 24, 2027 and June 24, 2027, subject to the reporting person's continued employment with the issuer on each vesting date, with any fraction of an RSU that would otherwise vest accumulated and vesting only when a whole RSU has accumulated.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first quarterly vesting of the RSUs described in footnote 1, which vested on September 24,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shares of common stock reported in Table I as acquired upon settlement of restricted stock units were issued under the issuer's registration statement on Form S-8 filed with the Securities and Exchange Commission on August 21,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Jeffery Harris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3921" TargetMode="External"/><Relationship Id="rId5" Type="http://schemas.openxmlformats.org/officeDocument/2006/relationships/hyperlink" Target="http://www.sec.gov/cgi-bin/browse-edgar?action=getcompany&amp;CIK=00017591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779</Words>
  <Characters>4163</Characters>
  <CharactersWithSpaces>4859</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