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zsqr8k091026.htm"/>
      <w:bookmarkStart w:id="1" w:name="kszsqr8k091026"/>
      <w:bookmarkEnd w:id="0"/>
      <w:bookmarkEnd w:id="1"/>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2_edei--DocumentType_c20260909__20"/>
      <w:bookmarkEnd w:id="2"/>
      <w:r>
        <w:rPr>
          <w:rFonts w:ascii="Times New Roman;Times;Serif" w:hAnsi="Times New Roman;Times;Serif"/>
          <w:b/>
          <w:i w:val="false"/>
          <w:caps w:val="false"/>
          <w:smallCaps w:val="false"/>
          <w:sz w:val="32"/>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September 9,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Z SQUARED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030" w:type="dxa"/>
        <w:jc w:val="left"/>
        <w:tblInd w:w="0" w:type="dxa"/>
        <w:shd w:fill="FFFFFF" w:val="clear"/>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shd w:fill="FFFFFF" w:val="clear"/>
            <w:vAlign w:val="center"/>
          </w:tcPr>
          <w:p>
            <w:pPr>
              <w:pStyle w:val="TableContents"/>
              <w:bidi w:val="0"/>
              <w:spacing w:before="0" w:after="283"/>
              <w:jc w:val="center"/>
              <w:rPr>
                <w:sz w:val="20"/>
              </w:rPr>
            </w:pPr>
            <w:bookmarkStart w:id="5" w:name="xdx_903_edei--EntityIncorporationStateCo"/>
            <w:bookmarkEnd w:id="5"/>
            <w:r>
              <w:rPr>
                <w:sz w:val="20"/>
              </w:rPr>
              <w:t>Delaware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shd w:fill="FFFFFF" w:val="clear"/>
            <w:vAlign w:val="center"/>
          </w:tcPr>
          <w:p>
            <w:pPr>
              <w:pStyle w:val="TableContents"/>
              <w:bidi w:val="0"/>
              <w:spacing w:before="0" w:after="283"/>
              <w:jc w:val="center"/>
              <w:rPr>
                <w:sz w:val="20"/>
              </w:rPr>
            </w:pPr>
            <w:bookmarkStart w:id="6" w:name="xdx_908_edei--EntityFileNumber_c20260909"/>
            <w:bookmarkEnd w:id="6"/>
            <w:r>
              <w:rPr>
                <w:sz w:val="20"/>
              </w:rPr>
              <w:t>001-39669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vAlign w:val="center"/>
          </w:tcPr>
          <w:p>
            <w:pPr>
              <w:pStyle w:val="TableContents"/>
              <w:bidi w:val="0"/>
              <w:spacing w:before="0" w:after="283"/>
              <w:jc w:val="center"/>
              <w:rPr>
                <w:sz w:val="20"/>
              </w:rPr>
            </w:pPr>
            <w:bookmarkStart w:id="7" w:name="xdx_904_edei--EntityTaxIdentificationNum"/>
            <w:bookmarkEnd w:id="7"/>
            <w:r>
              <w:rPr>
                <w:sz w:val="20"/>
              </w:rPr>
              <w:t>98-1465952</w:t>
            </w:r>
          </w:p>
        </w:tc>
      </w:tr>
      <w:tr>
        <w:trPr/>
        <w:tc>
          <w:tcPr>
            <w:tcW w:w="2165" w:type="dxa"/>
            <w:tcBorders/>
            <w:shd w:fill="FFFFFF" w:val="clear"/>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0" w:type="dxa"/>
            <w:tcBorders/>
            <w:shd w:fill="FFFFFF" w:val="clear"/>
            <w:tcMar>
              <w:bottom w:w="0" w:type="dxa"/>
            </w:tcMar>
            <w:vAlign w:val="center"/>
          </w:tcPr>
          <w:p>
            <w:pPr>
              <w:pStyle w:val="TableContents"/>
              <w:bidi w:val="0"/>
              <w:spacing w:before="0" w:after="283"/>
              <w:jc w:val="center"/>
              <w:rPr>
                <w:sz w:val="20"/>
              </w:rPr>
            </w:pPr>
            <w:r>
              <w:rPr>
                <w:sz w:val="20"/>
              </w:rPr>
              <w:t>(Commission File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val="false"/>
          <w:i w:val="false"/>
          <w:caps w:val="false"/>
          <w:smallCaps w:val="false"/>
          <w:sz w:val="20"/>
        </w:rPr>
        <w:t xml:space="preserve">550 South Andrews Ave., </w:t>
      </w:r>
      <w:bookmarkStart w:id="9" w:name="xdx_907_edei--EntityAddressAddressLine2_"/>
      <w:bookmarkEnd w:id="9"/>
      <w:r>
        <w:rPr>
          <w:rFonts w:ascii="Times New Roman;Times;Serif" w:hAnsi="Times New Roman;Times;Serif"/>
          <w:b w:val="false"/>
          <w:i w:val="false"/>
          <w:caps w:val="false"/>
          <w:smallCaps w:val="false"/>
          <w:sz w:val="20"/>
        </w:rPr>
        <w:t xml:space="preserve">Suite #700, </w:t>
      </w:r>
      <w:bookmarkStart w:id="10" w:name="xdx_908_edei--EntityAddressCityOrTown_c2"/>
      <w:bookmarkEnd w:id="10"/>
      <w:r>
        <w:rPr>
          <w:rFonts w:ascii="Times New Roman;Times;Serif" w:hAnsi="Times New Roman;Times;Serif"/>
          <w:b w:val="false"/>
          <w:i w:val="false"/>
          <w:caps w:val="false"/>
          <w:smallCaps w:val="false"/>
          <w:sz w:val="20"/>
        </w:rPr>
        <w:t xml:space="preserve">Fort Lauderdale, </w:t>
      </w:r>
      <w:bookmarkStart w:id="11" w:name="xdx_901_edei--EntityAddressStateOrProvin"/>
      <w:bookmarkEnd w:id="11"/>
      <w:r>
        <w:rPr>
          <w:rFonts w:ascii="Times New Roman;Times;Serif" w:hAnsi="Times New Roman;Times;Serif"/>
          <w:b w:val="false"/>
          <w:i w:val="false"/>
          <w:caps w:val="false"/>
          <w:smallCaps w:val="false"/>
          <w:sz w:val="20"/>
        </w:rPr>
        <w:t xml:space="preserve">Florida </w:t>
      </w:r>
      <w:bookmarkStart w:id="12" w:name="xdx_902_edei--EntityAddressPostalZipCode"/>
      <w:bookmarkEnd w:id="12"/>
      <w:r>
        <w:rPr>
          <w:rFonts w:ascii="Times New Roman;Times;Serif" w:hAnsi="Times New Roman;Times;Serif"/>
          <w:b w:val="false"/>
          <w:i w:val="false"/>
          <w:caps w:val="false"/>
          <w:smallCaps w:val="false"/>
          <w:sz w:val="20"/>
        </w:rPr>
        <w:t>33301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13" w:name="xdx_905_edei--CityAreaCode_c20260909__20"/>
      <w:bookmarkEnd w:id="13"/>
      <w:r>
        <w:rPr>
          <w:rFonts w:ascii="Times New Roman;Times;Serif" w:hAnsi="Times New Roman;Times;Serif"/>
          <w:b w:val="false"/>
          <w:i w:val="false"/>
          <w:caps w:val="false"/>
          <w:smallCaps w:val="false"/>
          <w:sz w:val="20"/>
          <w:u w:val="single"/>
        </w:rPr>
        <w:t>305-</w:t>
      </w:r>
      <w:bookmarkStart w:id="14" w:name="xdx_900_edei--LocalPhoneNumber_c20260909"/>
      <w:bookmarkEnd w:id="14"/>
      <w:r>
        <w:rPr>
          <w:rFonts w:ascii="Times New Roman;Times;Serif" w:hAnsi="Times New Roman;Times;Serif"/>
          <w:b w:val="false"/>
          <w:i w:val="false"/>
          <w:caps w:val="false"/>
          <w:smallCaps w:val="false"/>
          <w:sz w:val="20"/>
          <w:u w:val="single"/>
        </w:rPr>
        <w:t>697-0792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2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E_edei--SolicitingMaterial_c202609"/>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A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D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60" w:type="dxa"/>
        <w:jc w:val="left"/>
        <w:tblInd w:w="0" w:type="dxa"/>
        <w:shd w:fill="FFFFFF" w:val="clear"/>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FFFFFF" w:val="clear"/>
            <w:tcMar>
              <w:bottom w:w="0" w:type="dxa"/>
            </w:tcMar>
            <w:vAlign w:val="center"/>
          </w:tcPr>
          <w:p>
            <w:pPr>
              <w:pStyle w:val="TableContents"/>
              <w:bidi w:val="0"/>
              <w:spacing w:before="0" w:after="283"/>
              <w:jc w:val="center"/>
              <w:rPr>
                <w:sz w:val="20"/>
              </w:rPr>
            </w:pPr>
            <w:bookmarkStart w:id="19" w:name="xdx_906_edei--Security12bTitle_c20260909"/>
            <w:bookmarkEnd w:id="19"/>
            <w:r>
              <w:rPr>
                <w:sz w:val="20"/>
              </w:rPr>
              <w:t>Common Stock, par value $0.0001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shd w:fill="FFFFFF" w:val="clear"/>
            <w:tcMar>
              <w:bottom w:w="0" w:type="dxa"/>
            </w:tcMar>
            <w:vAlign w:val="center"/>
          </w:tcPr>
          <w:p>
            <w:pPr>
              <w:pStyle w:val="TableContents"/>
              <w:bidi w:val="0"/>
              <w:spacing w:before="0" w:after="283"/>
              <w:jc w:val="center"/>
              <w:rPr>
                <w:sz w:val="20"/>
              </w:rPr>
            </w:pPr>
            <w:bookmarkStart w:id="20" w:name="xdx_90F_edei--TradingSymbol_c20260909__2"/>
            <w:bookmarkEnd w:id="20"/>
            <w:r>
              <w:rPr>
                <w:sz w:val="20"/>
              </w:rPr>
              <w:t>ZSQR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shd w:fill="FFFFFF" w:val="clear"/>
            <w:tcMar>
              <w:bottom w:w="0" w:type="dxa"/>
            </w:tcMar>
            <w:vAlign w:val="center"/>
          </w:tcPr>
          <w:p>
            <w:pPr>
              <w:pStyle w:val="TableContents"/>
              <w:bidi w:val="0"/>
              <w:spacing w:before="0" w:after="283"/>
              <w:jc w:val="center"/>
              <w:rPr/>
            </w:pPr>
            <w:r>
              <w:rPr>
                <w:sz w:val="20"/>
              </w:rPr>
              <w:t xml:space="preserve">The </w:t>
            </w:r>
            <w:bookmarkStart w:id="21" w:name="xdx_90E_edei--SecurityExchangeName_c2026"/>
            <w:bookmarkEnd w:id="21"/>
            <w:r>
              <w:rPr>
                <w:sz w:val="20"/>
              </w:rPr>
              <w:t>Nasdaq</w:t>
            </w:r>
            <w:r>
              <w:rPr/>
              <w:t xml:space="preserve"> </w:t>
            </w:r>
            <w:r>
              <w:rPr>
                <w:sz w:val="20"/>
              </w:rPr>
              <w:t>Global Market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2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the Board of Directors (the “Board”) of Z Squared Inc. (the “Company”) approved and adopted the Third Amended and Restated Bylaws of the Company (the “Third Amended and Restated Bylaws”), effective as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Amended and Restated Bylaws amend and restate Article I — Section 5 of the Company’s Second Amended and Restated Bylaws to (i) reduce the quorum required for the transaction of business at meetings of the Company’s stockholders from the presence, in person (including virtually) or by proxy, of the holders of a majority in voting power of the outstanding shares of stock entitled to vote at the meeting to the presence, in person (including virtually) or by proxy, of the holders of one-third (1/3) in voting power of the outstanding shares of stock entitled to vote at the meeting, and (ii) provide that a quorum, once established, shall not be broken by the subsequent withdrawal of any stockholders or their proxies. No other changes were made to the Company’s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Third Amended and Restated Bylaws does not purport to be complete and is qualified in its entirety by reference to the full text of the Third Amended and Restated Bylaws, a copy of which is filed as Exhibit 3.1 to this Current Report on Form 8-K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29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7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61"/>
        <w:gridCol w:w="60"/>
        <w:gridCol w:w="8984"/>
      </w:tblGrid>
      <w:tr>
        <w:trPr/>
        <w:tc>
          <w:tcPr>
            <w:tcW w:w="1161"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84"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161" w:type="dxa"/>
            <w:tcBorders/>
            <w:tcMar>
              <w:bottom w:w="0" w:type="dxa"/>
            </w:tcMar>
            <w:vAlign w:val="center"/>
          </w:tcPr>
          <w:p>
            <w:pPr>
              <w:pStyle w:val="TableContents"/>
              <w:bidi w:val="0"/>
              <w:spacing w:before="0" w:after="283"/>
              <w:jc w:val="left"/>
              <w:rPr/>
            </w:pPr>
            <w:r>
              <w:rPr/>
              <w:t>3.1</w:t>
            </w:r>
          </w:p>
        </w:tc>
        <w:tc>
          <w:tcPr>
            <w:tcW w:w="60" w:type="dxa"/>
            <w:tcBorders/>
            <w:tcMar>
              <w:bottom w:w="0" w:type="dxa"/>
            </w:tcMar>
            <w:vAlign w:val="center"/>
          </w:tcPr>
          <w:p>
            <w:pPr>
              <w:pStyle w:val="TableContents"/>
              <w:bidi w:val="0"/>
              <w:spacing w:before="0" w:after="283"/>
              <w:jc w:val="left"/>
              <w:rPr/>
            </w:pPr>
            <w:r>
              <w:rPr/>
              <w:t> </w:t>
            </w:r>
          </w:p>
        </w:tc>
        <w:tc>
          <w:tcPr>
            <w:tcW w:w="8984" w:type="dxa"/>
            <w:tcBorders/>
            <w:tcMar>
              <w:bottom w:w="0" w:type="dxa"/>
            </w:tcMar>
            <w:vAlign w:val="center"/>
          </w:tcPr>
          <w:p>
            <w:pPr>
              <w:pStyle w:val="TableContents"/>
              <w:bidi w:val="0"/>
              <w:spacing w:before="0" w:after="283"/>
              <w:jc w:val="left"/>
              <w:rPr/>
            </w:pPr>
            <w:hyperlink w:anchor="zsqrex3-1.htm">
              <w:r>
                <w:rPr>
                  <w:rStyle w:val="InternetLink"/>
                </w:rPr>
                <w:t>Third Amended and Restated Bylaws of Z Squared Inc., adopted and effective as of September 9, 2026.</w:t>
              </w:r>
            </w:hyperlink>
          </w:p>
        </w:tc>
      </w:tr>
      <w:tr>
        <w:trPr/>
        <w:tc>
          <w:tcPr>
            <w:tcW w:w="1161"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8984"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10, 2026</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710"/>
        <w:gridCol w:w="2300"/>
      </w:tblGrid>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b/>
              </w:rPr>
            </w:pPr>
            <w:r>
              <w:rPr>
                <w:b/>
              </w:rPr>
              <w:t>Z SQUARED 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David Halabu</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300" w:type="dxa"/>
            <w:tcBorders/>
            <w:vAlign w:val="center"/>
          </w:tcPr>
          <w:p>
            <w:pPr>
              <w:pStyle w:val="TableContents"/>
              <w:bidi w:val="0"/>
              <w:spacing w:before="0" w:after="283"/>
              <w:jc w:val="left"/>
              <w:rPr/>
            </w:pPr>
            <w:r>
              <w:rPr/>
              <w:t>David Halabu</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zsqrex3-1.htm"/>
      <w:bookmarkStart w:id="24" w:name="kszsqrex31"/>
      <w:bookmarkEnd w:id="23"/>
      <w:bookmarkEnd w:id="24"/>
      <w:r>
        <w:rPr>
          <w:b/>
        </w:rPr>
        <w:t>Exhibit 3.1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 BYLAWS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of Stockholders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1.</w:t>
            </w:r>
          </w:p>
        </w:tc>
        <w:tc>
          <w:tcPr>
            <w:tcW w:w="10012" w:type="dxa"/>
            <w:tcBorders/>
            <w:vAlign w:val="center"/>
          </w:tcPr>
          <w:p>
            <w:pPr>
              <w:pStyle w:val="TableContents"/>
              <w:bidi w:val="0"/>
              <w:spacing w:before="0" w:after="283"/>
              <w:jc w:val="both"/>
              <w:rPr/>
            </w:pPr>
            <w:r>
              <w:rPr>
                <w:b/>
                <w:i/>
              </w:rPr>
              <w:t>Annual Meetings</w:t>
            </w:r>
            <w:r>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2.</w:t>
            </w:r>
          </w:p>
        </w:tc>
        <w:tc>
          <w:tcPr>
            <w:tcW w:w="10016" w:type="dxa"/>
            <w:tcBorders/>
            <w:vAlign w:val="center"/>
          </w:tcPr>
          <w:p>
            <w:pPr>
              <w:pStyle w:val="TableContents"/>
              <w:bidi w:val="0"/>
              <w:spacing w:before="0" w:after="283"/>
              <w:jc w:val="both"/>
              <w:rPr/>
            </w:pPr>
            <w:r>
              <w:rPr>
                <w:b/>
                <w:i/>
              </w:rPr>
              <w:t>Special Meetings</w:t>
            </w:r>
            <w:r>
              <w:rPr/>
              <w:t>. Special meetings of stockholders for any purpose or purposes may be called at any time by the Chairman of the Board of Directors, or by the Chief Executive Officer or President, or by a resolution adopted by a majority of the whole Board of Directors, but such special meetings may not be called by any other person or persons. Business transacted at any special meeting of stockholders shall be limited to the purposes stated in the notice.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3.</w:t>
            </w:r>
          </w:p>
        </w:tc>
        <w:tc>
          <w:tcPr>
            <w:tcW w:w="10026" w:type="dxa"/>
            <w:tcBorders/>
            <w:vAlign w:val="center"/>
          </w:tcPr>
          <w:p>
            <w:pPr>
              <w:pStyle w:val="TableContents"/>
              <w:bidi w:val="0"/>
              <w:spacing w:before="0" w:after="283"/>
              <w:jc w:val="both"/>
              <w:rPr/>
            </w:pPr>
            <w:r>
              <w:rPr>
                <w:b/>
                <w:i/>
              </w:rPr>
              <w:t>Notice of Meetings</w:t>
            </w:r>
            <w:r>
              <w:rPr/>
              <w:t xml:space="preserve">.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To be timely, a stockholder’s notice shall be delivered to the Secretary at the principal executive offices of the corporation not later than the close of business on the ninetieth (90th) day nor earlier than the close of business on the one hundred twentieth (120th) day prior to the first anniversary of the preceding year’s annual meeting; </w:t>
            </w:r>
            <w:r>
              <w:rPr>
                <w:i/>
              </w:rPr>
              <w:t>provided</w:t>
            </w:r>
            <w:r>
              <w:rPr/>
              <w:t>, however,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In no event shall the public announcement of an adjournment of an annual meeting commence a new time period for the giving of a stockholder’s notice as described above. If mailed, such notice shall be deemed to be given when deposited in the United States mail, postage prepaid, directed to the stockholder at such stockholder’s address as it appears on the records of the corporation.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4.</w:t>
            </w:r>
          </w:p>
        </w:tc>
        <w:tc>
          <w:tcPr>
            <w:tcW w:w="10023" w:type="dxa"/>
            <w:tcBorders/>
            <w:vAlign w:val="center"/>
          </w:tcPr>
          <w:p>
            <w:pPr>
              <w:pStyle w:val="TableContents"/>
              <w:bidi w:val="0"/>
              <w:spacing w:before="0" w:after="283"/>
              <w:jc w:val="both"/>
              <w:rPr/>
            </w:pPr>
            <w:r>
              <w:rPr>
                <w:b/>
                <w:i/>
              </w:rPr>
              <w:t>Adjournments</w:t>
            </w:r>
            <w:r>
              <w:rPr/>
              <w:t>.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5.</w:t>
            </w:r>
          </w:p>
        </w:tc>
        <w:tc>
          <w:tcPr>
            <w:tcW w:w="10024" w:type="dxa"/>
            <w:tcBorders/>
            <w:vAlign w:val="center"/>
          </w:tcPr>
          <w:p>
            <w:pPr>
              <w:pStyle w:val="TableContents"/>
              <w:bidi w:val="0"/>
              <w:spacing w:before="0" w:after="283"/>
              <w:jc w:val="both"/>
              <w:rPr/>
            </w:pPr>
            <w:r>
              <w:rPr>
                <w:b/>
                <w:i/>
              </w:rPr>
              <w:t>Quorum</w:t>
            </w:r>
            <w:r>
              <w:rPr/>
              <w:t>. Except as otherwise provided by law, the certificate of incorporation or these bylaws, at each meeting of stockholders the presence in person (including virtually) or by proxy of the holders of one-third (1/3) in voting power of the outstanding shares of stock entitled to vote at the meeting shall be necessary and sufficient to constitute a quorum. In the absence of a quorum, the stockholders so present may, by a majority in voting power thereof, adjourn the meeting from time to time in the manner provided in Article I — Section 4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 A quorum, once established, shall not be broken by the subsequent withdrawal of any stockholders or their proxies.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6.</w:t>
            </w:r>
          </w:p>
        </w:tc>
        <w:tc>
          <w:tcPr>
            <w:tcW w:w="10019" w:type="dxa"/>
            <w:tcBorders/>
            <w:vAlign w:val="center"/>
          </w:tcPr>
          <w:p>
            <w:pPr>
              <w:pStyle w:val="TableContents"/>
              <w:bidi w:val="0"/>
              <w:spacing w:before="0" w:after="283"/>
              <w:jc w:val="both"/>
              <w:rPr/>
            </w:pPr>
            <w:r>
              <w:rPr>
                <w:b/>
                <w:i/>
              </w:rPr>
              <w:t>Organization</w:t>
            </w:r>
            <w:r>
              <w:rPr/>
              <w:t>. Meetings of stockholders shall be presided over by the Chairman of the Board of Directors or, in his or her absence, by the Chief Executive Officer or, in his or her absence, by the President or, in his or her absence, by a Vice President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7.</w:t>
            </w:r>
          </w:p>
        </w:tc>
        <w:tc>
          <w:tcPr>
            <w:tcW w:w="10025" w:type="dxa"/>
            <w:tcBorders/>
            <w:vAlign w:val="center"/>
          </w:tcPr>
          <w:p>
            <w:pPr>
              <w:pStyle w:val="TableContents"/>
              <w:bidi w:val="0"/>
              <w:spacing w:before="0" w:after="283"/>
              <w:jc w:val="both"/>
              <w:rPr/>
            </w:pPr>
            <w:r>
              <w:rPr>
                <w:b/>
                <w:i/>
              </w:rPr>
              <w:t>Voting; Proxies</w:t>
            </w:r>
            <w:r>
              <w:rPr/>
              <w:t>. 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At all meetings of stockholders for the election of directors at which a quorum is present a plurality of the votes cast shall be sufficient to elect. All other elections and questions presented to the stockholders at a meeting at which a quorum is present shall, unless otherwise provided by the certificate of incorporation, these bylaws, the rules or regulations of any stock exchange applicable to the corporation, or applicable law or pursuant to any regulation applicable to the corporation or its securities, be decided by the affirmative vote of the holders of a majority in voting power of the shares of stock of the corporation which are present in person or by proxy and entitled to vote thereon.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344"/>
        <w:gridCol w:w="9796"/>
      </w:tblGrid>
      <w:tr>
        <w:trPr/>
        <w:tc>
          <w:tcPr>
            <w:tcW w:w="6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8.</w:t>
            </w:r>
          </w:p>
        </w:tc>
        <w:tc>
          <w:tcPr>
            <w:tcW w:w="9796" w:type="dxa"/>
            <w:tcBorders/>
            <w:vAlign w:val="center"/>
          </w:tcPr>
          <w:p>
            <w:pPr>
              <w:pStyle w:val="TableContents"/>
              <w:bidi w:val="0"/>
              <w:spacing w:before="0" w:after="283"/>
              <w:jc w:val="both"/>
              <w:rPr/>
            </w:pPr>
            <w:r>
              <w:rPr>
                <w:b/>
                <w:i/>
              </w:rPr>
              <w:t>Fixing Date for Determination of Stockholders of Record</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days prior to such other action. If no such record date is fixed, the record date for determining stockholders for any such purpose shall be at the close of business on the day on which the Board of Directors adopts the resolution relating thereto.</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9.</w:t>
            </w:r>
          </w:p>
        </w:tc>
        <w:tc>
          <w:tcPr>
            <w:tcW w:w="10025" w:type="dxa"/>
            <w:tcBorders/>
            <w:vAlign w:val="center"/>
          </w:tcPr>
          <w:p>
            <w:pPr>
              <w:pStyle w:val="TableContents"/>
              <w:bidi w:val="0"/>
              <w:spacing w:before="0" w:after="283"/>
              <w:jc w:val="both"/>
              <w:rPr/>
            </w:pPr>
            <w:r>
              <w:rPr>
                <w:b/>
                <w:i/>
              </w:rPr>
              <w:t>List of Stockholders Entitled to Vote</w:t>
            </w:r>
            <w:r>
              <w:rPr/>
              <w:t xml:space="preserve">. The Secretary shall prepare and make, at least ten (10) days before every meeting of stockholders, a complete list of the stockholders entitled to vote at the meeting (provided, however,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 (i) on a reasonably accessible electronic network, provided that the </w:t>
            </w:r>
            <w:r>
              <w:rPr>
                <w:b/>
              </w:rPr>
              <w:t>information</w:t>
            </w:r>
            <w:r>
              <w:rPr/>
              <w:t xml:space="preserve"> required to gain access to such list is provided with the notice of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Article I — Section 9 or to vote in person or by proxy at any meeting of stockholders.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10.</w:t>
            </w:r>
          </w:p>
        </w:tc>
        <w:tc>
          <w:tcPr>
            <w:tcW w:w="9894" w:type="dxa"/>
            <w:tcBorders/>
            <w:vAlign w:val="center"/>
          </w:tcPr>
          <w:p>
            <w:pPr>
              <w:pStyle w:val="TableContents"/>
              <w:bidi w:val="0"/>
              <w:spacing w:before="0" w:after="283"/>
              <w:jc w:val="both"/>
              <w:rPr/>
            </w:pPr>
            <w:r>
              <w:rPr>
                <w:b/>
                <w:i/>
              </w:rPr>
              <w:t>Action by Written Consent of Stockholders</w:t>
            </w:r>
            <w:r>
              <w:rPr/>
              <w:t>. Unless otherwise provided by the certificate of incorporation, any action required or permitted to be taken by the stockholders of the corporation must be effected at a duly held meeting of stockholders of the corporation at which a quorum is present or represented and may not be effected by any consent in writing by such stockholders.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11.</w:t>
            </w:r>
          </w:p>
        </w:tc>
        <w:tc>
          <w:tcPr>
            <w:tcW w:w="9903" w:type="dxa"/>
            <w:tcBorders/>
            <w:vAlign w:val="center"/>
          </w:tcPr>
          <w:p>
            <w:pPr>
              <w:pStyle w:val="TableContents"/>
              <w:bidi w:val="0"/>
              <w:spacing w:before="0" w:after="283"/>
              <w:jc w:val="both"/>
              <w:rPr/>
            </w:pPr>
            <w:r>
              <w:rPr>
                <w:b/>
                <w:i/>
              </w:rPr>
              <w:t>Inspectors of Election</w:t>
            </w:r>
            <w:r>
              <w:rPr/>
              <w:t>. The corporation shall,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12.</w:t>
            </w:r>
          </w:p>
        </w:tc>
        <w:tc>
          <w:tcPr>
            <w:tcW w:w="9906" w:type="dxa"/>
            <w:tcBorders/>
            <w:vAlign w:val="center"/>
          </w:tcPr>
          <w:p>
            <w:pPr>
              <w:pStyle w:val="TableContents"/>
              <w:bidi w:val="0"/>
              <w:spacing w:before="0" w:after="283"/>
              <w:jc w:val="both"/>
              <w:rPr/>
            </w:pPr>
            <w:r>
              <w:rPr>
                <w:b/>
                <w:i/>
              </w:rPr>
              <w:t>Conduct of Meetings</w:t>
            </w:r>
            <w:r>
              <w:rPr/>
              <w:t>.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622"/>
        <w:gridCol w:w="9510"/>
      </w:tblGrid>
      <w:tr>
        <w:trPr/>
        <w:tc>
          <w:tcPr>
            <w:tcW w:w="7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pPr>
            <w:r>
              <w:rPr/>
              <w:t>13.</w:t>
            </w:r>
          </w:p>
        </w:tc>
        <w:tc>
          <w:tcPr>
            <w:tcW w:w="9510" w:type="dxa"/>
            <w:tcBorders/>
            <w:vAlign w:val="center"/>
          </w:tcPr>
          <w:p>
            <w:pPr>
              <w:pStyle w:val="TableContents"/>
              <w:bidi w:val="0"/>
              <w:spacing w:before="0" w:after="283"/>
              <w:jc w:val="both"/>
              <w:rPr/>
            </w:pPr>
            <w:r>
              <w:rPr>
                <w:b/>
                <w:i/>
              </w:rPr>
              <w:t>Notice of Stockholder Business and Nominations</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540"/>
        <w:gridCol w:w="9555"/>
      </w:tblGrid>
      <w:tr>
        <w:trPr/>
        <w:tc>
          <w:tcPr>
            <w:tcW w:w="11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pPr>
            <w:r>
              <w:rPr/>
              <w:t>a.</w:t>
            </w:r>
          </w:p>
        </w:tc>
        <w:tc>
          <w:tcPr>
            <w:tcW w:w="9555" w:type="dxa"/>
            <w:tcBorders/>
            <w:vAlign w:val="center"/>
          </w:tcPr>
          <w:p>
            <w:pPr>
              <w:pStyle w:val="TableContents"/>
              <w:bidi w:val="0"/>
              <w:spacing w:before="0" w:after="283"/>
              <w:jc w:val="both"/>
              <w:rPr/>
            </w:pPr>
            <w:r>
              <w:rPr>
                <w:u w:val="single"/>
              </w:rPr>
              <w:t>Annual Meetings of Stockholders</w:t>
            </w:r>
            <w:r>
              <w:rPr/>
              <w:t>.</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Nominations of persons for election to the Board of Directors of the corporation and the proposal of other business to be considered by the stockholders may be made at an annual meeting of stockholders only (a) pursuant to the corporation’s notice of meeting (or any supplement thereto), (b) by or at the direction of the Board of Directors or any committee thereof or (c) by any stockholder of the corporation who was a stockholder of record of the corporation at the time the notice provided for in this Article I — Section 13 is timely delivered to the Secretary of the corporation, who is entitled to vote at the meeting and who complies with the notice procedures set forth in this Article I — Section 13.</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pPr>
            <w:r>
              <w:rPr/>
              <w:t>For any nominations or other business to be properly brought before an annual meeting by a stockholder pursuant to clause (c) of paragraph (a)(i) of this Article I — Section 13, the stockholder must have given timely notice thereof in writing to the Secretary of the corporation and any such proposed business (other than the nominations of persons for election to the Board of Directors) must constitute a proper matter for stockholder action. To be timely, a stockholder’s notice shall be delivered to the Secretary at the principal executive offices of the corporation not later than the close of business on the ninetieth (90th) day, nor earlier than the close of business on the one hundred twentieth (120th) day, prior to the first anniversary of the preceding year’s annual meeting (</w:t>
            </w:r>
            <w:r>
              <w:rPr>
                <w:i/>
              </w:rPr>
              <w:t>provided</w:t>
            </w:r>
            <w:r>
              <w:rPr/>
              <w:t>, however, that in the event that no annual meeting was held in the previous year, the date of the annual meeting is more than thirty (30) days before or more than seventy (70) days after such anniversary date, notice by the stockholder must be so delivered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Securities Exchange Act of 1934, as amended (the “</w:t>
            </w:r>
            <w:r>
              <w:rPr>
                <w:b/>
              </w:rPr>
              <w:t>Exchange Act</w:t>
            </w:r>
            <w:r>
              <w:rPr/>
              <w:t>”) and the rules and regulations promulgated thereunder, and (ii)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or series and number of shares of capital stock of the corporation which are owned beneficially and of record by such stockholder and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securities of the corporation, (v) a representation that the stockholder is a holder of record of stock of the corporation entitled to vote at such meeting and intends to appear in person or by proxy at the meeting to propose such business or nomination, (vi)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elect the nominee and/or (b) otherwise to solicit proxies or votes from stockholders in support of such proposal or nomination, and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The foregoing notice requirements of this Article I — Section 13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The corporation may require any proposed nominee to furnish such other information as the corporation may reasonably require to determine the eligibility of such proposed nominee to serve as a director of the corporation.</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both"/>
              <w:rPr/>
            </w:pPr>
            <w:r>
              <w:rPr/>
              <w:t>Notwithstanding anything in the second sentence of paragraph (a)(ii) of this Article I — Section 13 to the contrary, in the event that the number of directors to be elected to the Board of Directors of the corporation at the annual meeting is increased effective after the time period for which nominations would otherwise be due under paragraph (a)(ii) of this Article I — Section 13 and there is no public announcement by the corporation naming the nominees for the additional directorships at least one hundred (100) days prior to the first anniversary of the preceding year’s annual meeting, a stockholder’s notice required by this Article I — Section 13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u w:val="single"/>
              </w:rPr>
              <w:t>Special Meetings of Stockholders</w:t>
            </w:r>
            <w:r>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this Article I — Section 13 is delivered to the Secretary of the corporation, who is entitled to vote at the meeting and upon such election and who complies with the notice procedures set forth in this Article I — Section 13. In the event the Board of Directors elects to call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(a)(ii) of this Article I — Section 13 shall be delivered to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 The Board of Directors shall determine the time and place of such special meeting, which shall be held not less than thirty-five (35) nor more than one hundred twenty (120) days after the date of the receipt of the request.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2"/>
        <w:gridCol w:w="1768"/>
        <w:gridCol w:w="8075"/>
      </w:tblGrid>
      <w:tr>
        <w:trPr/>
        <w:tc>
          <w:tcPr>
            <w:tcW w:w="36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pPr>
            <w:r>
              <w:rPr/>
              <w:t>c.</w:t>
            </w:r>
          </w:p>
        </w:tc>
        <w:tc>
          <w:tcPr>
            <w:tcW w:w="8075" w:type="dxa"/>
            <w:tcBorders/>
            <w:vAlign w:val="center"/>
          </w:tcPr>
          <w:p>
            <w:pPr>
              <w:pStyle w:val="TableContents"/>
              <w:bidi w:val="0"/>
              <w:spacing w:before="0" w:after="283"/>
              <w:jc w:val="both"/>
              <w:rPr/>
            </w:pPr>
            <w:r>
              <w:rPr>
                <w:u w:val="single"/>
              </w:rPr>
              <w:t>General</w:t>
            </w:r>
            <w:r>
              <w:rPr/>
              <w:t>.</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Except as otherwise expressly provided in any applicable rule or regulation promulgated under the Exchange Act, only such persons who are nominated in accordance with the procedures set forth in this Article I — Section 13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Article I — Section 13. Except as otherwise provided by law, the chairman of the meeting shall have the power and duty (a) to determine whether a nomination or any business proposed to be brought before the meeting was made or proposed, as the case may be, in accordance with the procedures set forth in this Article I — Section 13 (including whether the stockholder or beneficial owner, if any, on whose behalf the nomination or proposal is made solicited (or is part of a group which solicited) or did not so solicit, as the case may be, proxies or votes in support of such stockholder’s nominee or proposal in compliance with such stockholder’s representation as required by clause (a)(ii)(c)(vi) of this Article I — Section 13) and (b) if any proposed nomination or business was not made or proposed in compliance with this Article I — Section 13, to declare that such nomination shall be disregarded or that such proposed business shall not be transacted. Notwithstanding the foregoing provisions of this Article I — Section 13,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Article I — Section 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pPr>
            <w:r>
              <w:rPr/>
              <w:t>For purposes of this Article I — Section 13, “public announcement” shall mean disclosure in a press release reported by the Dow Jones News Service, Associated Press or comparable national news service or in a document publicly filed by the corporation with the Securities and Exchange Commission (the “SEC”) pursuant to Section 13, 14 or 15(d) of the Exchange Act.</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both"/>
              <w:rPr/>
            </w:pPr>
            <w:r>
              <w:rPr/>
              <w:t xml:space="preserve">Notwithstanding the foregoing provisions of this Section 1.13, a stockholder shall also comply with all applicable requirements of the Exchange Act and the rules and regulations promulgated thereunder with respect to the matters set forth in this Article I — Section 13; </w:t>
            </w:r>
            <w:r>
              <w:rPr>
                <w:i/>
              </w:rPr>
              <w:t xml:space="preserve">provided </w:t>
            </w:r>
            <w:r>
              <w:rPr/>
              <w:t xml:space="preserve">however, that any references in these bylaws to the Exchange Act or the rules and regulations promulgated thereunder are not intended to and shall not limit any requirements applicable to nominations or proposals as to any other business to be considered pursuant to this Article I — Section </w:t>
            </w:r>
            <w:r>
              <w:rPr/>
              <w:t xml:space="preserve">۳۱ </w:t>
            </w:r>
            <w:r>
              <w:rPr/>
              <w:t>(including paragraphs (a)(i)(c) and (b) hereof), and compliance with paragraphs (a)(i)(c) and (b) of this Article I — Section 13 shall be the exclusive means for a stockholder to make nominations or submit other business (other than, as provided in the penultimate sentence of (a)(ii), business other than nominations brought properly under and in compliance with Rule 14a-8 of the Exchange Act, as may be amended from time to time). Nothing in this Article I — Section 13 shall be deemed to affect any rights (a) of stockholders to request inclusion of proposals or nominations in the corporation’s proxy statement pursuant to applicable rules and regulations promulgated under the Exchange Act or (b) of the holders of any series of Preferred Stock to elect directors pursuant to any applicable provisions of the certificate of incorporation or any certificate of designation.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13A.</w:t>
            </w:r>
          </w:p>
        </w:tc>
        <w:tc>
          <w:tcPr>
            <w:tcW w:w="9668" w:type="dxa"/>
            <w:tcBorders/>
            <w:vAlign w:val="center"/>
          </w:tcPr>
          <w:p>
            <w:pPr>
              <w:pStyle w:val="TableContents"/>
              <w:bidi w:val="0"/>
              <w:spacing w:before="0" w:after="283"/>
              <w:jc w:val="both"/>
              <w:rPr/>
            </w:pPr>
            <w:r>
              <w:rPr>
                <w:b/>
                <w:i/>
              </w:rPr>
              <w:t>Compliance with Rule 14a-19</w:t>
            </w:r>
            <w:r>
              <w:rPr/>
              <w:t>. In addition to the requirements set forth in Section 13 of this Article I, any stockholder who intends to solicit proxies in support of director nominees other than the corporation's nominees in accordance with Rule 14a-19 under the Exchange Act (a “Proxy Solicitor”) shall: (i) provide notice to the corporation that meets the requirements of Rule 14a-19 under the Exchange Act, including a representation that the Proxy Solicitor will solicit holders of shares representing at least 67% of the voting power of shares entitled to vote on the election of directors (or such other percentage as is then required under Rule 14a-19) in support of director nominees other than the corporation's nominees; (ii) include in such notice a representation as to whether the Proxy Solicitor (and any beneficial owner on whose behalf the nomination is made) has complied and will comply in all respects with all applicable requirements of Rule 14a-19 under the Exchange Act, including, without limitation, the requirements of Rule 14a-19(a)(2) and Rule 14a-19(a)(3); and (iii) deliver to the corporation, no later than five (5) business days prior to the applicable meeting of stockholders, documentation reasonably evidencing the Proxy Solicitor's compliance with Rule 14a-19 under the Exchange Act, including reasonable evidence that the Proxy Solicitor has satisfied the solicitation requirement of Rule 14a-19(a)(3). If a Proxy Solicitor (a) fails to comply with the requirements of Rule 14a-19 under the Exchange Act, including if the Proxy Solicitor (1) provides notice pursuant to Rule 14a-19(b) and subsequently (I) notifies the corporation that such Proxy Solicitor no longer intends to solicit proxies in support of director nominees other than the corporation's nominees in accordance with Rule 14a-19, or (II) fails to comply with the requirements of Rule 14a-19(a)(2) or Rule 14a-19(a)(3), or (2) fails to provide reasonable evidence sufficient to satisfy the corporation that such Proxy Solicitor has met the requirements of Rule 14a-19(a)(3) in accordance with the foregoing or (b) fails to comply with the requirements set forth in this Section 13A of Article I, then the nomination of each proposed nominee of such Proxy Solicitor shall be disregarded (notwithstanding that proxies in respect of such vote may have been received by the corporation), and any votes cast by stockholders in favor of such proposed nominee or nominees shall be disregarded. Upon request by the corporation, if any Proxy Solicitor provides notice pursuant to Rule 14a-19(b) under the Exchange Act, such Proxy Solicitor shall deliver to the corporation, no later than five (5) business days prior to the applicable meeting of stockholders, reasonable evidence that it has met the requirements of Rule 14a-19(a)(3).</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14.</w:t>
            </w:r>
          </w:p>
        </w:tc>
        <w:tc>
          <w:tcPr>
            <w:tcW w:w="9905" w:type="dxa"/>
            <w:tcBorders/>
            <w:vAlign w:val="center"/>
          </w:tcPr>
          <w:p>
            <w:pPr>
              <w:pStyle w:val="TableContents"/>
              <w:bidi w:val="0"/>
              <w:spacing w:before="0" w:after="283"/>
              <w:jc w:val="both"/>
              <w:rPr/>
            </w:pPr>
            <w:r>
              <w:rPr>
                <w:b/>
                <w:i/>
              </w:rPr>
              <w:t>Virtual Meetings</w:t>
            </w:r>
            <w:r>
              <w:rPr/>
              <w:t>. If authorized by the Board of Directors, and subject to such guidelines and procedures as the Board of Directors may from time to time adopt, stockholders and proxyholders not physically present at a meeting of stockholders may, by means of remote communication, (i) participate in a meeting of stockholders and (ii) be deemed present in person and vote at a meeting of stockholders, whether such meeting is held at a designated place or solely by means of remote communication, provided that the corporation shall implement reasonable measures to (a) verify that each person deemed present and permitted to vote at the meeting by means of remote communication is a stockholder or proxyholder, (b) provide such stockholders and proxyholders a reasonable opportunity to participate in the meeting and to vote on matters submitted to the stockholders, including an opportunity to read or hear the proceedings of the meeting substantially concurrently with such proceedings, and (c) maintain a record of any vote or other action taken by such stockholders or proxyholders by means of remote communication. Meetings of stockholders may be held solely by means of remote communication, in lieu of holding such meeting at any place, in accordance with Section 211(a)(2) of the General Corporation Law of the State of Delaware.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1.</w:t>
            </w:r>
          </w:p>
        </w:tc>
        <w:tc>
          <w:tcPr>
            <w:tcW w:w="10006" w:type="dxa"/>
            <w:tcBorders/>
            <w:vAlign w:val="center"/>
          </w:tcPr>
          <w:p>
            <w:pPr>
              <w:pStyle w:val="TableContents"/>
              <w:bidi w:val="0"/>
              <w:spacing w:before="0" w:after="283"/>
              <w:jc w:val="both"/>
              <w:rPr/>
            </w:pPr>
            <w:r>
              <w:rPr>
                <w:b/>
                <w:i/>
              </w:rPr>
              <w:t>Number; Qualifications</w:t>
            </w:r>
            <w:r>
              <w:rPr/>
              <w:t>. Subject to the certificate of incorporation, the Board of Directors shall consist of one or more members, the number thereof to be determined from time to time by resolution of the Board of Directors. Directors need not be stockholders.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2.</w:t>
            </w:r>
          </w:p>
        </w:tc>
        <w:tc>
          <w:tcPr>
            <w:tcW w:w="10024" w:type="dxa"/>
            <w:tcBorders/>
            <w:vAlign w:val="center"/>
          </w:tcPr>
          <w:p>
            <w:pPr>
              <w:pStyle w:val="TableContents"/>
              <w:bidi w:val="0"/>
              <w:spacing w:before="0" w:after="283"/>
              <w:jc w:val="both"/>
              <w:rPr/>
            </w:pPr>
            <w:r>
              <w:rPr>
                <w:b/>
                <w:i/>
              </w:rPr>
              <w:t>Election; Resignation; Vacancies</w:t>
            </w:r>
            <w:r>
              <w:rPr/>
              <w:t>. The Board of Directors shall initially consist of the persons named as directors in the certificate of incorporation or elected by the incorporator of the corporation, and each director so elected shall hold office until the first annual meeting of stockholders or until his or her successor is duly elected and qualified. At the first annual meeting of stockholders and at each annual meeting thereafter, the stockholders shall elect directors each of whom shall hold office for a term of one year or until his or her successor is duly elected and qualified, subject to such director’s earlier death, resignation, disqualification or removal. Any director may resign at any time upon notice to the corporation. Unless otherwise provided by law or the certificate of incorporation, any newly created directorship or any vacancy occurring in the Board of Directors for any cause may be filled only by a majority of the remaining members of the Board of Directors, although such majority is less than a quorum, and each director so elected shall hold office until the expiration of the term of office of the director whom he or she has replaced or until his or her successor is elected and qualified.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3.</w:t>
            </w:r>
          </w:p>
        </w:tc>
        <w:tc>
          <w:tcPr>
            <w:tcW w:w="10000" w:type="dxa"/>
            <w:tcBorders/>
            <w:vAlign w:val="center"/>
          </w:tcPr>
          <w:p>
            <w:pPr>
              <w:pStyle w:val="TableContents"/>
              <w:bidi w:val="0"/>
              <w:spacing w:before="0" w:after="283"/>
              <w:jc w:val="both"/>
              <w:rPr/>
            </w:pPr>
            <w:r>
              <w:rPr>
                <w:b/>
                <w:i/>
              </w:rPr>
              <w:t>Regular Meetings</w:t>
            </w:r>
            <w:r>
              <w:rPr/>
              <w:t>. Regular meetings of the Board of Directors may be held at such places within or without the State of Delaware and at such times as the Board of Directors may from time to time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4.</w:t>
            </w:r>
          </w:p>
        </w:tc>
        <w:tc>
          <w:tcPr>
            <w:tcW w:w="10018" w:type="dxa"/>
            <w:tcBorders/>
            <w:vAlign w:val="center"/>
          </w:tcPr>
          <w:p>
            <w:pPr>
              <w:pStyle w:val="TableContents"/>
              <w:bidi w:val="0"/>
              <w:spacing w:before="0" w:after="283"/>
              <w:jc w:val="both"/>
              <w:rPr/>
            </w:pPr>
            <w:r>
              <w:rPr>
                <w:b/>
                <w:i/>
              </w:rPr>
              <w:t>Special Meetings</w:t>
            </w:r>
            <w:r>
              <w:rPr/>
              <w:t>. Special meetings of the Board of Directors may be held at any time or place within or without the State of Delaware whenever called by (i) the Board of Directors pursuant to a resolution adopted by a majority of the whole Board of Directors; (ii) the chairman of the Board of Directors; or (iii) the chief executive officer or president of the Corporation. Notice of a special meeting of the Board of Directors shall be given by the person or persons calling the meeting at least twenty-four hours before the special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5.</w:t>
            </w:r>
          </w:p>
        </w:tc>
        <w:tc>
          <w:tcPr>
            <w:tcW w:w="10015" w:type="dxa"/>
            <w:tcBorders/>
            <w:vAlign w:val="center"/>
          </w:tcPr>
          <w:p>
            <w:pPr>
              <w:pStyle w:val="TableContents"/>
              <w:bidi w:val="0"/>
              <w:spacing w:before="0" w:after="283"/>
              <w:jc w:val="both"/>
              <w:rPr/>
            </w:pPr>
            <w:r>
              <w:rPr>
                <w:b/>
                <w:i/>
              </w:rPr>
              <w:t>Telephonic Meetings Permitted</w:t>
            </w:r>
            <w:r>
              <w:rPr/>
              <w:t>. 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by-law shall constitute presence in person at such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6.</w:t>
            </w:r>
          </w:p>
        </w:tc>
        <w:tc>
          <w:tcPr>
            <w:tcW w:w="10017" w:type="dxa"/>
            <w:tcBorders/>
            <w:vAlign w:val="center"/>
          </w:tcPr>
          <w:p>
            <w:pPr>
              <w:pStyle w:val="TableContents"/>
              <w:bidi w:val="0"/>
              <w:spacing w:before="0" w:after="283"/>
              <w:jc w:val="both"/>
              <w:rPr/>
            </w:pPr>
            <w:r>
              <w:rPr>
                <w:b/>
                <w:i/>
              </w:rPr>
              <w:t>Quorum; Vote Required for Action</w:t>
            </w:r>
            <w:r>
              <w:rPr/>
              <w:t>. At all meetings of the Board of Directors the directors entitled to cast a majority of the votes of the whole Board of Directors shall constitute a quorum for the transaction of business. Except in cases in which the certificate of incorporation, these bylaws or applicable law otherwise provides, a majority of the votes entitled to be cast by the directors present at a meeting at which a quorum is present shall be the act of the Board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7.</w:t>
            </w:r>
          </w:p>
        </w:tc>
        <w:tc>
          <w:tcPr>
            <w:tcW w:w="10012" w:type="dxa"/>
            <w:tcBorders/>
            <w:vAlign w:val="center"/>
          </w:tcPr>
          <w:p>
            <w:pPr>
              <w:pStyle w:val="TableContents"/>
              <w:bidi w:val="0"/>
              <w:spacing w:before="0" w:after="283"/>
              <w:jc w:val="both"/>
              <w:rPr/>
            </w:pPr>
            <w:r>
              <w:rPr>
                <w:b/>
                <w:i/>
              </w:rPr>
              <w:t>Organization</w:t>
            </w:r>
            <w:r>
              <w:rPr/>
              <w:t>. Meetings of the Board of Directors shall be presided over by the Chairman of the Board of Directors or, in his or her absence, by a chairman chosen at the meeting. The Secretary shall act as secretary of the meeting, but in his or her absence, the chairman of the meeting may appoint any person to act as secretary of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8.</w:t>
            </w:r>
          </w:p>
        </w:tc>
        <w:tc>
          <w:tcPr>
            <w:tcW w:w="10018" w:type="dxa"/>
            <w:tcBorders/>
            <w:vAlign w:val="center"/>
          </w:tcPr>
          <w:p>
            <w:pPr>
              <w:pStyle w:val="TableContents"/>
              <w:bidi w:val="0"/>
              <w:spacing w:before="0" w:after="283"/>
              <w:jc w:val="both"/>
              <w:rPr/>
            </w:pPr>
            <w:r>
              <w:rPr>
                <w:b/>
                <w:i/>
              </w:rPr>
              <w:t>Action by Unanimous Consent of Directors</w:t>
            </w:r>
            <w:r>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transmissions are filed with the minutes of proceedings of the board or committee in accordance with applicable law.</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1.</w:t>
            </w:r>
          </w:p>
        </w:tc>
        <w:tc>
          <w:tcPr>
            <w:tcW w:w="10024" w:type="dxa"/>
            <w:tcBorders/>
            <w:vAlign w:val="center"/>
          </w:tcPr>
          <w:p>
            <w:pPr>
              <w:pStyle w:val="TableContents"/>
              <w:bidi w:val="0"/>
              <w:spacing w:before="0" w:after="283"/>
              <w:jc w:val="both"/>
              <w:rPr/>
            </w:pPr>
            <w:r>
              <w:rPr>
                <w:b/>
                <w:i/>
              </w:rPr>
              <w:t>Committees</w:t>
            </w:r>
            <w:r>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To the extent that the composition of any committee is subject to rules or requirements of any national securities exchange on which the corporation’s securities are listed, the Board of Directors shall appoint committee members in a manner that is compliant with all such rules or regulations.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2.</w:t>
            </w:r>
          </w:p>
        </w:tc>
        <w:tc>
          <w:tcPr>
            <w:tcW w:w="10012" w:type="dxa"/>
            <w:tcBorders/>
            <w:vAlign w:val="center"/>
          </w:tcPr>
          <w:p>
            <w:pPr>
              <w:pStyle w:val="TableContents"/>
              <w:bidi w:val="0"/>
              <w:spacing w:before="0" w:after="283"/>
              <w:jc w:val="both"/>
              <w:rPr/>
            </w:pPr>
            <w:r>
              <w:rPr>
                <w:b/>
                <w:i/>
              </w:rPr>
              <w:t>Committee Rules</w:t>
            </w:r>
            <w:r>
              <w:rPr/>
              <w:t>.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 of these bylaws.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1.</w:t>
            </w:r>
          </w:p>
        </w:tc>
        <w:tc>
          <w:tcPr>
            <w:tcW w:w="10024" w:type="dxa"/>
            <w:tcBorders/>
            <w:vAlign w:val="center"/>
          </w:tcPr>
          <w:p>
            <w:pPr>
              <w:pStyle w:val="TableContents"/>
              <w:bidi w:val="0"/>
              <w:spacing w:before="0" w:after="283"/>
              <w:jc w:val="both"/>
              <w:rPr/>
            </w:pPr>
            <w:r>
              <w:rPr>
                <w:b/>
                <w:i/>
              </w:rPr>
              <w:t>Officers</w:t>
            </w:r>
            <w:r>
              <w:rPr/>
              <w:t>. The officers of the corporation shall consist of a Chairman of the Board of Directors, a Chief Executive Officer, a Chief Financial Officer, a President, one or more Vice Presidents, a Secretary, a Treasurer, a Controller and such other officers as the Board of Directors may from time to time determine, each of whom shall be elected by the Board of Directors, each to have such authority, functions or duties as set forth in these bylaws or as determined by the Board of Directors. Each officer shall be chosen by the Board of Directors and shall hold office for such term as may be prescribed by the Board of Directors and until such person’s successor shall have been duly chosen and qualified, or until such person’s earlier death, disqualification, resignation or removal. The Board of Directors may elect or appoint co-Chairmen of the Board, co-Presidents or co-Chief Executive Officers and, in such case, references in these bylaws to the Chairman of the Board, the President or the Chief Executive Officer shall refer to either such co-Chairman of the Board, co-President or co-Chief Executive Officer, as the case may be.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2.</w:t>
            </w:r>
          </w:p>
        </w:tc>
        <w:tc>
          <w:tcPr>
            <w:tcW w:w="10020" w:type="dxa"/>
            <w:tcBorders/>
            <w:vAlign w:val="center"/>
          </w:tcPr>
          <w:p>
            <w:pPr>
              <w:pStyle w:val="TableContents"/>
              <w:bidi w:val="0"/>
              <w:spacing w:before="0" w:after="283"/>
              <w:jc w:val="both"/>
              <w:rPr/>
            </w:pPr>
            <w:r>
              <w:rPr>
                <w:b/>
                <w:i/>
              </w:rPr>
              <w:t>Removal, Resignation and Vacancies</w:t>
            </w:r>
            <w:r>
              <w:rPr/>
              <w:t>. Any officer of the corporation may be removed, with or without cause, by the Board of Directors, without prejudice to the rights, if any, of such officer under any contract to which it is a party. Any officer may resign at any time upon written notice to the corporation, without prejudice to the rights, if any, of the corporation under any contract to which such officer is a party. If any vacancy occurs in any office of the corporation, the Board of Directors may elect a successor to fill such vacancy for the remainder of the unexpired term and until a successor shall have been duly chosen and qualified.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3.</w:t>
            </w:r>
          </w:p>
        </w:tc>
        <w:tc>
          <w:tcPr>
            <w:tcW w:w="10002" w:type="dxa"/>
            <w:tcBorders/>
            <w:vAlign w:val="center"/>
          </w:tcPr>
          <w:p>
            <w:pPr>
              <w:pStyle w:val="TableContents"/>
              <w:bidi w:val="0"/>
              <w:spacing w:before="0" w:after="283"/>
              <w:jc w:val="both"/>
              <w:rPr/>
            </w:pPr>
            <w:r>
              <w:rPr>
                <w:b/>
                <w:i/>
              </w:rPr>
              <w:t>Chairman of the Board of Directors</w:t>
            </w:r>
            <w:r>
              <w:rPr/>
              <w:t>. The Chairman of the Board of Directors shall be deemed an officer of the corporation, subject to the control of the Board of Directors, and shall report directly to the Board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4.</w:t>
            </w:r>
          </w:p>
        </w:tc>
        <w:tc>
          <w:tcPr>
            <w:tcW w:w="10020" w:type="dxa"/>
            <w:tcBorders/>
            <w:vAlign w:val="center"/>
          </w:tcPr>
          <w:p>
            <w:pPr>
              <w:pStyle w:val="TableContents"/>
              <w:bidi w:val="0"/>
              <w:spacing w:before="0" w:after="283"/>
              <w:jc w:val="both"/>
              <w:rPr/>
            </w:pPr>
            <w:r>
              <w:rPr>
                <w:b/>
                <w:i/>
              </w:rPr>
              <w:t>Chief Executive Officer</w:t>
            </w:r>
            <w:r>
              <w:rPr/>
              <w:t>. The Chief Executive Officer shall have general supervision and direction of the business and affairs of the corporation, shall be responsible for corporate policy and strategy, and shall report directly to the Chairman of the Board of Directors. Unless otherwise provided in these bylaws, all other officers of the corporation shall report directly to the Chief Executive Officer or as otherwise determined by the Chief Executive Officer. The Chief Executive Officer shall, if present and in the absence of the Chairman of the Board of Directors, preside at meetings of the stockholders and of the Board of Directors. The Chief Executive Officer may also be the Chairman.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5.</w:t>
            </w:r>
          </w:p>
        </w:tc>
        <w:tc>
          <w:tcPr>
            <w:tcW w:w="10017" w:type="dxa"/>
            <w:tcBorders/>
            <w:vAlign w:val="center"/>
          </w:tcPr>
          <w:p>
            <w:pPr>
              <w:pStyle w:val="TableContents"/>
              <w:bidi w:val="0"/>
              <w:spacing w:before="0" w:after="283"/>
              <w:jc w:val="both"/>
              <w:rPr/>
            </w:pPr>
            <w:r>
              <w:rPr>
                <w:b/>
                <w:i/>
              </w:rPr>
              <w:t>Chief Financial Officer</w:t>
            </w:r>
            <w:r>
              <w:rPr/>
              <w:t>. The Chief Financial Officer shall exercise all the powers and perform the duties of the office of the chief financial officer and in general have overall supervision of the financial operations of the corporation. The Chief Financial Officer shall, when requested, counsel with and advise the other officers of the corporation and shall perform such other duties as such officer may agree with the Chief Executive Officer or as the Board of Directors may from time to time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6.</w:t>
            </w:r>
          </w:p>
        </w:tc>
        <w:tc>
          <w:tcPr>
            <w:tcW w:w="10019" w:type="dxa"/>
            <w:tcBorders/>
            <w:vAlign w:val="center"/>
          </w:tcPr>
          <w:p>
            <w:pPr>
              <w:pStyle w:val="TableContents"/>
              <w:bidi w:val="0"/>
              <w:spacing w:before="0" w:after="283"/>
              <w:jc w:val="both"/>
              <w:rPr/>
            </w:pPr>
            <w:r>
              <w:rPr>
                <w:b/>
                <w:i/>
              </w:rPr>
              <w:t>President</w:t>
            </w:r>
            <w:r>
              <w:rPr/>
              <w:t>. The President shall be the chief operating officer of the corporation, with general responsibility for the management and control of the operations of the corporation. The President shall have the power to affix the signature of the corporation to all contracts that have been authorized by the Board of Directors or the Chief Executive Officer. The President shall, when requested, counsel with and advise the other officers of the corporation and shall perform such other duties as such officer may agree with the Chief Executive Officer or as the Board of Directors may from time to time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7.</w:t>
            </w:r>
          </w:p>
        </w:tc>
        <w:tc>
          <w:tcPr>
            <w:tcW w:w="10015" w:type="dxa"/>
            <w:tcBorders/>
            <w:vAlign w:val="center"/>
          </w:tcPr>
          <w:p>
            <w:pPr>
              <w:pStyle w:val="TableContents"/>
              <w:bidi w:val="0"/>
              <w:spacing w:before="0" w:after="283"/>
              <w:jc w:val="both"/>
              <w:rPr/>
            </w:pPr>
            <w:r>
              <w:rPr>
                <w:b/>
                <w:i/>
              </w:rPr>
              <w:t>Vice Presidents</w:t>
            </w:r>
            <w:r>
              <w:rPr/>
              <w:t>. Each Vice President shall have such powers and duties as shall be prescribed by his or her superior officer or the Chief Executive Officer. A Vice President shall, when requested, counsel with and advise the other officers of the corporation and shall perform such other duties as such officer may agree with the his or her superior officer, the Chief Executive Officer or as the Board of Directors may from time to time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8.</w:t>
            </w:r>
          </w:p>
        </w:tc>
        <w:tc>
          <w:tcPr>
            <w:tcW w:w="10021" w:type="dxa"/>
            <w:tcBorders/>
            <w:vAlign w:val="center"/>
          </w:tcPr>
          <w:p>
            <w:pPr>
              <w:pStyle w:val="TableContents"/>
              <w:bidi w:val="0"/>
              <w:spacing w:before="0" w:after="283"/>
              <w:jc w:val="both"/>
              <w:rPr/>
            </w:pPr>
            <w:r>
              <w:rPr>
                <w:b/>
                <w:i/>
              </w:rPr>
              <w:t>Treasurer</w:t>
            </w:r>
            <w:r>
              <w:rPr/>
              <w:t>. The Treasurer shall supervise and be responsible for all the funds and securities of the corporation, the deposit of all moneys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such officer may agree with the Chief Executive Officer or as the Board of Directors may from time to time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9.</w:t>
            </w:r>
          </w:p>
        </w:tc>
        <w:tc>
          <w:tcPr>
            <w:tcW w:w="10013" w:type="dxa"/>
            <w:tcBorders/>
            <w:vAlign w:val="center"/>
          </w:tcPr>
          <w:p>
            <w:pPr>
              <w:pStyle w:val="TableContents"/>
              <w:bidi w:val="0"/>
              <w:spacing w:before="0" w:after="283"/>
              <w:jc w:val="both"/>
              <w:rPr/>
            </w:pPr>
            <w:r>
              <w:rPr>
                <w:b/>
                <w:i/>
              </w:rPr>
              <w:t>Controller</w:t>
            </w:r>
            <w:r>
              <w:rPr/>
              <w:t>. The Controller shall be the chief accounting officer of the corporation. The Controller shall, when requested, counsel with any advice the other officers of the corporation and shall perform such other duties as such officer may agree with the Chief Executive Officer or the Chief Financial Officer or as the Board of Directors may from time to time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10.</w:t>
            </w:r>
          </w:p>
        </w:tc>
        <w:tc>
          <w:tcPr>
            <w:tcW w:w="9904" w:type="dxa"/>
            <w:tcBorders/>
            <w:vAlign w:val="center"/>
          </w:tcPr>
          <w:p>
            <w:pPr>
              <w:pStyle w:val="TableContents"/>
              <w:bidi w:val="0"/>
              <w:spacing w:before="0" w:after="283"/>
              <w:jc w:val="both"/>
              <w:rPr/>
            </w:pPr>
            <w:r>
              <w:rPr>
                <w:b/>
                <w:i/>
              </w:rPr>
              <w:t>Secretary</w:t>
            </w:r>
            <w:r>
              <w:rPr/>
              <w:t>. The powers and duties of the Secretary are: (i) to act as Secretary at all meetings of the Board of Directors, of the committees of the Board of Directors and of the stockholders and to record the proceedings of such meetings in a book or books to be kept for that purpose; (ii) to see that all notices required to be given by the corporation are duly given and served; (iii) to act as custodian of the seal of the corporation and affix the seal or cause it to be affixed to all certificates of stock of the corporation and to all documents, the execution of which on behalf of the corporation under its seal is duly authorized in accordance with the provisions of these bylaws; (iv) to have charge of the books, records and papers of the corporation and see that the reports, statements and other documents required by law to be kept and filed are properly kept and filed; and (v) to perform all of the duties incident to the office of Secretary. The Secretary shall, when requested, counsel with and advise the other officers of the corporation and shall perform such other duties as such officer may agree with the Chief Executive Officer or as the Board of Directors may from time to time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11.</w:t>
            </w:r>
          </w:p>
        </w:tc>
        <w:tc>
          <w:tcPr>
            <w:tcW w:w="9899" w:type="dxa"/>
            <w:tcBorders/>
            <w:vAlign w:val="center"/>
          </w:tcPr>
          <w:p>
            <w:pPr>
              <w:pStyle w:val="TableContents"/>
              <w:bidi w:val="0"/>
              <w:spacing w:before="0" w:after="283"/>
              <w:jc w:val="both"/>
              <w:rPr/>
            </w:pPr>
            <w:r>
              <w:rPr>
                <w:b/>
                <w:i/>
              </w:rPr>
              <w:t>Additional Matters</w:t>
            </w:r>
            <w:r>
              <w:rPr/>
              <w:t>. The Chief Executive Officer and the Chief Financial Officer of the corporation shall have the authority to designate employees of the corporation to have the title of Executive Vice President, Senior Vice President, Vice President, Assistant Vice President, Assistant Treasurer or Assistant Secretary. Any employee so designated shall have the powers and duties determined by the officer making such designation. The persons upon whom such titles are conferred shall not be deemed officers of the corporation unless elected by the Board of Directors.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1.</w:t>
            </w:r>
          </w:p>
        </w:tc>
        <w:tc>
          <w:tcPr>
            <w:tcW w:w="10024" w:type="dxa"/>
            <w:tcBorders/>
            <w:vAlign w:val="center"/>
          </w:tcPr>
          <w:p>
            <w:pPr>
              <w:pStyle w:val="TableContents"/>
              <w:bidi w:val="0"/>
              <w:spacing w:before="0" w:after="283"/>
              <w:jc w:val="both"/>
              <w:rPr/>
            </w:pPr>
            <w:r>
              <w:rPr>
                <w:b/>
                <w:i/>
              </w:rPr>
              <w:t>Certificates</w:t>
            </w:r>
            <w:r>
              <w:rPr/>
              <w:t>. The shares of the corporation shall be represented by certificates (which may be electronically recorded in book entry format),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of the Board of Directors or the President or a Vice President, and by the Treasurer or an Assistant Treasurer, or the Secretary or an Assistant Secretary, of the corporation certifying the number of shares owned by such holder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2.</w:t>
            </w:r>
          </w:p>
        </w:tc>
        <w:tc>
          <w:tcPr>
            <w:tcW w:w="10019" w:type="dxa"/>
            <w:tcBorders/>
            <w:vAlign w:val="center"/>
          </w:tcPr>
          <w:p>
            <w:pPr>
              <w:pStyle w:val="TableContents"/>
              <w:bidi w:val="0"/>
              <w:spacing w:before="0" w:after="283"/>
              <w:jc w:val="both"/>
              <w:rPr/>
            </w:pPr>
            <w:r>
              <w:rPr>
                <w:b/>
                <w:i/>
              </w:rPr>
              <w:t>Lost, Stolen or Destroyed Stock Certificates; Issuance of New Certificates</w:t>
            </w:r>
            <w:r>
              <w:rPr/>
              <w:t>. The corporation may issue a new certificate of stock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and Advancement of Expenses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1.</w:t>
            </w:r>
          </w:p>
        </w:tc>
        <w:tc>
          <w:tcPr>
            <w:tcW w:w="10025" w:type="dxa"/>
            <w:tcBorders/>
            <w:vAlign w:val="center"/>
          </w:tcPr>
          <w:p>
            <w:pPr>
              <w:pStyle w:val="TableContents"/>
              <w:bidi w:val="0"/>
              <w:spacing w:before="0" w:after="283"/>
              <w:jc w:val="both"/>
              <w:rPr/>
            </w:pPr>
            <w:r>
              <w:rPr>
                <w:b/>
                <w:i/>
              </w:rPr>
              <w:t>Right to Indemnification</w:t>
            </w:r>
            <w:r>
              <w:rPr/>
              <w:t>. The corporation shall indemnify and hold harmless, to the fullest extent permitted by applicable law as it presently exists or may hereafter be amended, any person (a “</w:t>
            </w:r>
            <w:r>
              <w:rPr>
                <w:b/>
              </w:rPr>
              <w:t>Covered Person</w:t>
            </w:r>
            <w:r>
              <w:rPr/>
              <w:t>”) who was or is made or is threatened to be made a party or is otherwise involved in any action, suit or proceeding, whether civil, criminal, administrative or investigative (a “</w:t>
            </w:r>
            <w:r>
              <w:rPr>
                <w:b/>
              </w:rPr>
              <w:t>proceeding</w:t>
            </w:r>
            <w:r>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Article VI — Section 1,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2.</w:t>
            </w:r>
          </w:p>
        </w:tc>
        <w:tc>
          <w:tcPr>
            <w:tcW w:w="10019" w:type="dxa"/>
            <w:tcBorders/>
            <w:vAlign w:val="center"/>
          </w:tcPr>
          <w:p>
            <w:pPr>
              <w:pStyle w:val="TableContents"/>
              <w:bidi w:val="0"/>
              <w:spacing w:before="0" w:after="283"/>
              <w:jc w:val="both"/>
              <w:rPr/>
            </w:pPr>
            <w:r>
              <w:rPr>
                <w:b/>
                <w:i/>
              </w:rPr>
              <w:t>Prepayment of Expenses</w:t>
            </w:r>
            <w:r>
              <w:rPr/>
              <w:t xml:space="preserve">. The corporation shall to the fullest extent not prohibited by applicable law pay the expenses (including attorneys’ fees) incurred by a Covered Person in defending any proceeding in advance of its final disposition, </w:t>
            </w:r>
            <w:r>
              <w:rPr>
                <w:i/>
              </w:rPr>
              <w:t>provided</w:t>
            </w:r>
            <w:r>
              <w:rPr/>
              <w:t>, however,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 or otherwise.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3.</w:t>
            </w:r>
          </w:p>
        </w:tc>
        <w:tc>
          <w:tcPr>
            <w:tcW w:w="10020" w:type="dxa"/>
            <w:tcBorders/>
            <w:vAlign w:val="center"/>
          </w:tcPr>
          <w:p>
            <w:pPr>
              <w:pStyle w:val="TableContents"/>
              <w:bidi w:val="0"/>
              <w:spacing w:before="0" w:after="283"/>
              <w:jc w:val="both"/>
              <w:rPr/>
            </w:pPr>
            <w:r>
              <w:rPr>
                <w:b/>
                <w:i/>
              </w:rPr>
              <w:t>Claims</w:t>
            </w:r>
            <w:r>
              <w:rPr/>
              <w:t>. If a claim for indemnification (following the final disposition of such proceeding) or advancement of expenses under this Article VI is not paid in full within thirty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4.</w:t>
            </w:r>
          </w:p>
        </w:tc>
        <w:tc>
          <w:tcPr>
            <w:tcW w:w="10012" w:type="dxa"/>
            <w:tcBorders/>
            <w:vAlign w:val="center"/>
          </w:tcPr>
          <w:p>
            <w:pPr>
              <w:pStyle w:val="TableContents"/>
              <w:bidi w:val="0"/>
              <w:spacing w:before="0" w:after="283"/>
              <w:jc w:val="both"/>
              <w:rPr/>
            </w:pPr>
            <w:r>
              <w:rPr>
                <w:b/>
                <w:i/>
              </w:rPr>
              <w:t>Non-exclusivity of Rights</w:t>
            </w:r>
            <w:r>
              <w:rPr/>
              <w:t>. The rights conferred on any Covered Person by this Article VI shall not be exclusive of any other rights which such Covered Person may have or hereafter acquire under any statute, provision of the certificate of incorporation, these bylaws, agreement, vote of stockholders or disinterested directors or otherwise.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5.</w:t>
            </w:r>
          </w:p>
        </w:tc>
        <w:tc>
          <w:tcPr>
            <w:tcW w:w="10017" w:type="dxa"/>
            <w:tcBorders/>
            <w:vAlign w:val="center"/>
          </w:tcPr>
          <w:p>
            <w:pPr>
              <w:pStyle w:val="TableContents"/>
              <w:bidi w:val="0"/>
              <w:spacing w:before="0" w:after="283"/>
              <w:jc w:val="both"/>
              <w:rPr/>
            </w:pPr>
            <w:r>
              <w:rPr>
                <w:b/>
                <w:i/>
              </w:rPr>
              <w:t>Other Sources</w:t>
            </w:r>
            <w:r>
              <w:rPr/>
              <w:t>. The corporation’s obligation, if any, to indemnify or to advance expenses to any Covered Person who was or is serving at its request as a director, officer, employee or agent of another corporation, partnership, joint venture, trust, enterprise or nonprofit entity shall be reduced by any amount such Covered Person may collect as indemnification or advancement of expenses from such other corporation, partnership, joint venture, trust, enterprise or non-profit enterprise.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6.</w:t>
            </w:r>
          </w:p>
        </w:tc>
        <w:tc>
          <w:tcPr>
            <w:tcW w:w="10015" w:type="dxa"/>
            <w:tcBorders/>
            <w:vAlign w:val="center"/>
          </w:tcPr>
          <w:p>
            <w:pPr>
              <w:pStyle w:val="TableContents"/>
              <w:bidi w:val="0"/>
              <w:spacing w:before="0" w:after="283"/>
              <w:jc w:val="both"/>
              <w:rPr/>
            </w:pPr>
            <w:r>
              <w:rPr>
                <w:b/>
                <w:i/>
              </w:rPr>
              <w:t>Amendment or Repeal</w:t>
            </w:r>
            <w:r>
              <w:rPr/>
              <w:t>. Any right to indemnification or to advancement of expenses of any Covered Person arising hereunder shall not be eliminated or impaired by an amendment to or repeal of these bylaws after the occurrence of the act or omission that is the subject of the civil, criminal, administrative or investigative action, suit or proceeding for which indemnification or advancement of expenses is sought.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7.</w:t>
            </w:r>
          </w:p>
        </w:tc>
        <w:tc>
          <w:tcPr>
            <w:tcW w:w="10010" w:type="dxa"/>
            <w:tcBorders/>
            <w:vAlign w:val="center"/>
          </w:tcPr>
          <w:p>
            <w:pPr>
              <w:pStyle w:val="TableContents"/>
              <w:bidi w:val="0"/>
              <w:spacing w:before="0" w:after="283"/>
              <w:jc w:val="both"/>
              <w:rPr/>
            </w:pPr>
            <w:r>
              <w:rPr>
                <w:b/>
                <w:i/>
              </w:rPr>
              <w:t>Other Indemnification and Advancement of Expenses</w:t>
            </w:r>
            <w:r>
              <w:rPr/>
              <w:t>. This Article VI shall not limit the right of the corporation, to the extent and in the manner permitted by law, to indemnify and to advance expenses to persons other than Covered Persons when and as authorized by appropriate corporate action.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283"/>
              <w:jc w:val="both"/>
              <w:rPr/>
            </w:pPr>
            <w:r>
              <w:rPr>
                <w:b/>
                <w:i/>
              </w:rPr>
              <w:t>Fiscal Year</w:t>
            </w:r>
            <w:r>
              <w:rPr/>
              <w:t>. The fiscal year of the corporation shall be determined by resolution of the Board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2.</w:t>
            </w:r>
          </w:p>
        </w:tc>
        <w:tc>
          <w:tcPr>
            <w:tcW w:w="10024" w:type="dxa"/>
            <w:tcBorders/>
            <w:vAlign w:val="center"/>
          </w:tcPr>
          <w:p>
            <w:pPr>
              <w:pStyle w:val="TableContents"/>
              <w:bidi w:val="0"/>
              <w:spacing w:before="0" w:after="283"/>
              <w:jc w:val="both"/>
              <w:rPr/>
            </w:pPr>
            <w:r>
              <w:rPr>
                <w:b/>
                <w:i/>
              </w:rPr>
              <w:t>Manner of Notice</w:t>
            </w:r>
            <w:r>
              <w:rPr/>
              <w:t>. Except as otherwise provided herein or permitted by applicable law, notices to directors and stockholders shall be in writing and delivered personally or mailed to the directors or stockholders at their addresses appearing on the books of the corporation not less than ten (10) nor more than sixty (60) days before the meeting,. Without limiting the manner by which notice otherwise may be given effectively to stockholders, 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Article VII — Section 2, shall be deemed to have consented to receiving such single written notice. Notice to directors may be given by telecopier, telephone or other means of electronic transmission.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3.</w:t>
            </w:r>
          </w:p>
        </w:tc>
        <w:tc>
          <w:tcPr>
            <w:tcW w:w="10021" w:type="dxa"/>
            <w:tcBorders/>
            <w:vAlign w:val="center"/>
          </w:tcPr>
          <w:p>
            <w:pPr>
              <w:pStyle w:val="TableContents"/>
              <w:bidi w:val="0"/>
              <w:spacing w:before="0" w:after="283"/>
              <w:jc w:val="both"/>
              <w:rPr/>
            </w:pPr>
            <w:r>
              <w:rPr>
                <w:b/>
                <w:i/>
              </w:rPr>
              <w:t>Waiver of Notice of Meetings of Stockholders, Directors and Committees</w:t>
            </w:r>
            <w:r>
              <w:rPr/>
              <w:t>. Any waiver of notice, given by the person entitled to notice, whether before or after the time stated therein, shall be deemed equivalent to timely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 waiver of notice.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4.</w:t>
            </w:r>
          </w:p>
        </w:tc>
        <w:tc>
          <w:tcPr>
            <w:tcW w:w="10013" w:type="dxa"/>
            <w:tcBorders/>
            <w:vAlign w:val="center"/>
          </w:tcPr>
          <w:p>
            <w:pPr>
              <w:pStyle w:val="TableContents"/>
              <w:bidi w:val="0"/>
              <w:spacing w:before="0" w:after="283"/>
              <w:jc w:val="both"/>
              <w:rPr/>
            </w:pPr>
            <w:r>
              <w:rPr>
                <w:b/>
                <w:i/>
              </w:rPr>
              <w:t>Form of Records</w:t>
            </w:r>
            <w:r>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5.</w:t>
            </w:r>
          </w:p>
        </w:tc>
        <w:tc>
          <w:tcPr>
            <w:tcW w:w="10004" w:type="dxa"/>
            <w:tcBorders/>
            <w:vAlign w:val="center"/>
          </w:tcPr>
          <w:p>
            <w:pPr>
              <w:pStyle w:val="TableContents"/>
              <w:bidi w:val="0"/>
              <w:spacing w:before="0" w:after="283"/>
              <w:jc w:val="both"/>
              <w:rPr/>
            </w:pPr>
            <w:r>
              <w:rPr>
                <w:b/>
                <w:i/>
              </w:rPr>
              <w:t>Amendment of Bylaws</w:t>
            </w:r>
            <w:r>
              <w:rPr/>
              <w:t>. These bylaws may be altered, amended or repealed, and new bylaws made, by the Board of Directors or by the affirmative vote of sixty-six and two-thirds percent of the outstanding voting power of the corporation.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6.</w:t>
            </w:r>
          </w:p>
        </w:tc>
        <w:tc>
          <w:tcPr>
            <w:tcW w:w="10025" w:type="dxa"/>
            <w:tcBorders/>
            <w:vAlign w:val="center"/>
          </w:tcPr>
          <w:p>
            <w:pPr>
              <w:pStyle w:val="TableContents"/>
              <w:bidi w:val="0"/>
              <w:spacing w:before="0" w:after="283"/>
              <w:jc w:val="both"/>
              <w:rPr/>
            </w:pPr>
            <w:r>
              <w:rPr>
                <w:b/>
                <w:i/>
              </w:rPr>
              <w:t>Exclusive Forum</w:t>
            </w:r>
            <w:r>
              <w:rPr/>
              <w:t>. Unless the corporation consents in writing to the 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shall, to the fullest extent permitted by law, be the sole and exclusive forum for: (i) any derivative action or proceeding brought on behalf of the corporation; (ii) any action asserting a claim of breach of fiduciary duty owed by any current or former director, officer, stockholder, employee, or agent of the corporation to the corporation or the corporation's stockholders; (iii) any action asserting a claim against the corporation or any current or former director, officer, stockholder, employee, or agent of the corporation arising pursuant to any provision of the General Corporation Law of the State of Delaware, the certificate of incorporation, or these bylaws; (iv) any action to interpret, apply, enforce, or determine the validity of the certificate of incorporation or these bylaws; (v) any action asserting a claim governed by the internal affairs doctrine; or (vi) any action asserting an “internal corporate claim” as that term is defined in Section 115 of the General Corporation Law of the State of Delaware. For the avoidance of doubt, this Section 6 shall not apply to any action or proceeding asserting a claim under the Securities Act of 1933, as amended (the “Securities Act”), or the Securities Exchange Act of 1934, as amended.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7.</w:t>
            </w:r>
          </w:p>
        </w:tc>
        <w:tc>
          <w:tcPr>
            <w:tcW w:w="10014" w:type="dxa"/>
            <w:tcBorders/>
            <w:vAlign w:val="center"/>
          </w:tcPr>
          <w:p>
            <w:pPr>
              <w:pStyle w:val="TableContents"/>
              <w:bidi w:val="0"/>
              <w:spacing w:before="0" w:after="283"/>
              <w:jc w:val="both"/>
              <w:rPr/>
            </w:pPr>
            <w:r>
              <w:rPr>
                <w:b/>
                <w:i/>
              </w:rPr>
              <w:t>Federal Forum for Securities Act Claims</w:t>
            </w:r>
            <w:r>
              <w:rPr/>
              <w:t>. Unless the corporation consents in writing to the selection of an alternative forum, to the fullest extent permitted by applicable law, the federal district courts of the United States of America shall be the sole and exclusive forum for the resolution of any complaint asserting a cause of action arising under the Securities Act, against any defendant named in such complaint.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8.</w:t>
            </w:r>
          </w:p>
        </w:tc>
        <w:tc>
          <w:tcPr>
            <w:tcW w:w="10002" w:type="dxa"/>
            <w:tcBorders/>
            <w:vAlign w:val="center"/>
          </w:tcPr>
          <w:p>
            <w:pPr>
              <w:pStyle w:val="TableContents"/>
              <w:bidi w:val="0"/>
              <w:spacing w:before="0" w:after="283"/>
              <w:jc w:val="both"/>
              <w:rPr/>
            </w:pPr>
            <w:r>
              <w:rPr>
                <w:b/>
                <w:i/>
              </w:rPr>
              <w:t>Notice and Consent</w:t>
            </w:r>
            <w:r>
              <w:rPr/>
              <w:t>. Any person or entity purchasing or otherwise acquiring any interest in any security of the corporation shall be deemed to have notice of and consented to the provisions of Sections 6 and 7 of this Article VII.</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10586</Words>
  <Characters>53182</Characters>
  <CharactersWithSpaces>63741</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