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Halabu David Elias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 SQUARED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SOUTH ANDREWS AVENUE, 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LAUDERDALE,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 Squared Inc.</w:t>
              </w:r>
            </w:hyperlink>
            <w:r>
              <w:rPr/>
              <w:t xml:space="preserve"> [ </w:t>
            </w:r>
            <w:r>
              <w:rPr>
                <w:rFonts w:ascii="Times;serif" w:hAnsi="Times;serif"/>
                <w:color w:val="0000FF"/>
                <w:sz w:val="24"/>
                <w:shd w:fill="FFFFFF" w:val="clear"/>
              </w:rPr>
              <w:t>ZSQR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2"/>
        <w:gridCol w:w="903"/>
        <w:gridCol w:w="773"/>
        <w:gridCol w:w="599"/>
        <w:gridCol w:w="344"/>
        <w:gridCol w:w="962"/>
        <w:gridCol w:w="441"/>
        <w:gridCol w:w="604"/>
        <w:gridCol w:w="1307"/>
        <w:gridCol w:w="981"/>
        <w:gridCol w:w="104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4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19,737</w:t>
            </w:r>
            <w:r>
              <w:rPr>
                <w:rFonts w:ascii="Times;serif" w:hAnsi="Times;serif"/>
                <w:color w:val="008000"/>
                <w:position w:val="7"/>
                <w:sz w:val="16"/>
                <w:sz w:val="20"/>
                <w:shd w:fill="FFFFFF" w:val="clear"/>
              </w:rPr>
              <w:t>(2)</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19,737</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1,412,855</w:t>
            </w:r>
            <w:r>
              <w:rPr>
                <w:rFonts w:ascii="Times;serif" w:hAnsi="Times;serif"/>
                <w:color w:val="008000"/>
                <w:position w:val="7"/>
                <w:sz w:val="16"/>
                <w:sz w:val="20"/>
                <w:shd w:fill="FFFFFF" w:val="clear"/>
              </w:rPr>
              <w:t>(3)</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SMSC Capital Holdings LLC</w:t>
            </w:r>
            <w:r>
              <w:rPr>
                <w:rFonts w:ascii="Times;serif" w:hAnsi="Times;serif"/>
                <w:color w:val="008000"/>
                <w:position w:val="7"/>
                <w:sz w:val="16"/>
                <w:sz w:val="20"/>
                <w:shd w:fill="FFFFFF" w:val="clear"/>
              </w:rPr>
              <w:t>(3)</w:t>
            </w:r>
          </w:p>
        </w:tc>
      </w:tr>
    </w:tbl>
    <w:tbl>
      <w:tblPr>
        <w:tblW w:w="126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6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78,947</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78,947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78,947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19,737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19,737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59,210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April 27, 2026, pursuant to Section 3(b) of the reporting person's Amended and Restated Executive Employment Agreement, the issuer agreed to grant the reporting person restricted stock units ("RSUs"), each representing a contingent right to receive one share of common stock upon vesting and having no expiration date, under the issuer's 2025 Incentive Compensation Plan as an annual bonus award. The number of RSUs was determined by dividing $1,200,000 by the April 27, 2026 closing price per share on the Nasdaq Global Market ($15.20), rounded down to the nearest whole share, and confirmed by resolution of the issuer's Board of Directors adopted September 23, 2026. The RSUs vest in four substantially equal quarterly installments (19,737 RSUs on each of July 27, 2026, October 27, 2026 and January 27, 2027, and 19,736 RSUs on April 27, 2027), subject to continued employment on each vesting date. The stock option granted on April 27, 2026 under that agreement was previously reported.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first quarterly vesting of the RSUs described in footnote 1, which vested on July 27,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Consists of 1,412,855 shares of common stock held of record by SMSC Capital Holdings LLC ("SMSC"), previously reported on the reporting person's Form 3 filed April 29, 2026. The reporting person owns a 1% membership interest in SMSC, and the David E. Halabu Irrevocable Trust, for which the reporting person acts as trustee, owns the remaining 99% membership interest in SMSC. The reporting person disclaims beneficial ownership of the shares held by SMSC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shares of common stock reported in Table I as acquired upon settlement of restricted stock units were issued under the issuer's registration statement on Form S-8 filed with the Securities and Exchange Commission on August 21,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Halabu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0997" TargetMode="External"/><Relationship Id="rId5" Type="http://schemas.openxmlformats.org/officeDocument/2006/relationships/hyperlink" Target="http://www.sec.gov/cgi-bin/browse-edgar?action=getcompany&amp;CIK=00017591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909</Words>
  <Characters>4852</Characters>
  <CharactersWithSpaces>5661</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